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0" w:beforeAutospacing="0" w:after="0" w:afterAutospacing="0" w:line="560" w:lineRule="exact"/>
        <w:jc w:val="center"/>
        <w:rPr>
          <w:rFonts w:ascii="方正小标宋简体" w:hAnsi="微软雅黑" w:eastAsia="方正小标宋简体"/>
          <w:color w:val="000000" w:themeColor="text1"/>
          <w:sz w:val="44"/>
          <w:szCs w:val="44"/>
        </w:rPr>
      </w:pPr>
      <w:r>
        <w:rPr>
          <w:rFonts w:hint="eastAsia" w:ascii="方正小标宋简体" w:hAnsi="微软雅黑" w:eastAsia="方正小标宋简体"/>
          <w:color w:val="000000" w:themeColor="text1"/>
          <w:sz w:val="44"/>
          <w:szCs w:val="44"/>
        </w:rPr>
        <w:t>经济发展局关于《“亩产效益”</w:t>
      </w:r>
    </w:p>
    <w:p>
      <w:pPr>
        <w:pStyle w:val="4"/>
        <w:spacing w:before="0" w:beforeAutospacing="0" w:after="0" w:afterAutospacing="0" w:line="560" w:lineRule="exact"/>
        <w:jc w:val="center"/>
        <w:rPr>
          <w:rFonts w:ascii="方正小标宋简体" w:eastAsia="方正小标宋简体"/>
          <w:color w:val="000000" w:themeColor="text1"/>
          <w:sz w:val="44"/>
          <w:szCs w:val="44"/>
        </w:rPr>
      </w:pPr>
      <w:r>
        <w:rPr>
          <w:rFonts w:hint="eastAsia" w:ascii="方正小标宋简体" w:hAnsi="微软雅黑" w:eastAsia="方正小标宋简体"/>
          <w:color w:val="000000" w:themeColor="text1"/>
          <w:sz w:val="44"/>
          <w:szCs w:val="44"/>
        </w:rPr>
        <w:t>评价改革工作的实施意见》解读</w:t>
      </w:r>
    </w:p>
    <w:p>
      <w:pPr>
        <w:pStyle w:val="4"/>
        <w:spacing w:before="0" w:beforeAutospacing="0" w:after="0" w:afterAutospacing="0"/>
        <w:rPr>
          <w:color w:val="333333"/>
          <w:sz w:val="35"/>
          <w:szCs w:val="35"/>
        </w:rPr>
      </w:pP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一、起草背景和过程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《威海经济技术开发区关于开展“亩产效益”评价改革工作的实施意见》（以下简称《实施意见》）是在2020年试行本基础上修订的，《威海经济技术开发区关于开展“亩产效益”评价改革工作的实施意见（试行）》（经技区</w:t>
      </w:r>
      <w:r>
        <w:rPr>
          <w:rFonts w:ascii="Times New Roman" w:hAnsi="Times New Roman" w:cs="Times New Roman"/>
          <w:sz w:val="32"/>
          <w:szCs w:val="32"/>
        </w:rPr>
        <w:t>﹝</w:t>
      </w:r>
      <w:r>
        <w:rPr>
          <w:rFonts w:ascii="Times New Roman" w:hAnsi="Times New Roman" w:eastAsia="仿宋_GB2312" w:cs="Times New Roman"/>
          <w:sz w:val="32"/>
          <w:szCs w:val="32"/>
        </w:rPr>
        <w:t>2020</w:t>
      </w:r>
      <w:r>
        <w:rPr>
          <w:rFonts w:ascii="Times New Roman" w:hAnsi="Times New Roman" w:cs="Times New Roman"/>
          <w:sz w:val="32"/>
          <w:szCs w:val="32"/>
        </w:rPr>
        <w:t>﹞</w:t>
      </w:r>
      <w:r>
        <w:rPr>
          <w:rFonts w:ascii="Times New Roman" w:hAnsi="Times New Roman" w:eastAsia="仿宋_GB2312" w:cs="Times New Roman"/>
          <w:sz w:val="32"/>
          <w:szCs w:val="32"/>
        </w:rPr>
        <w:t>16号）于今年5月份到期，为继续推动我区经济发展质量变革、效率变革、动力变革，提高全要素生产率，实现工业经济高质量发展，经发局作为“亩产效益”评价改革的牵头部门，前期根据《山东省人民政府关于开展“亩产效益”评价改革工作的指导意见》和《威海市人民政府关于开展“亩产效益”评价改革工作的实施意见》的要求和《关于做好2022年“亩产效益”评价改革工作的通知》（鲁工信运﹝2022﹞56号）要求，研究修订了《威海经济技术开发区关于开展“亩产效益”评价改革工作的实施方案》。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color w:val="333333"/>
          <w:sz w:val="32"/>
          <w:szCs w:val="32"/>
        </w:rPr>
        <w:t>二、主要内容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 w:cs="Times New Roman"/>
          <w:color w:val="333333"/>
          <w:sz w:val="32"/>
          <w:szCs w:val="32"/>
        </w:rPr>
      </w:pPr>
      <w:r>
        <w:rPr>
          <w:rFonts w:ascii="Times New Roman" w:hAnsi="Times New Roman" w:eastAsia="仿宋_GB2312" w:cs="Times New Roman"/>
          <w:color w:val="333333"/>
          <w:sz w:val="32"/>
          <w:szCs w:val="32"/>
        </w:rPr>
        <w:t>《意见》结构和主要内容与</w:t>
      </w:r>
      <w:r>
        <w:rPr>
          <w:rFonts w:ascii="Times New Roman" w:hAnsi="Times New Roman" w:eastAsia="仿宋_GB2312" w:cs="Times New Roman"/>
          <w:sz w:val="32"/>
          <w:szCs w:val="32"/>
        </w:rPr>
        <w:t>《威海经济技术开发区关于开展“亩产效益”评价改革工作的实施意见（试行）》（经技区</w:t>
      </w:r>
      <w:r>
        <w:rPr>
          <w:rFonts w:ascii="Times New Roman" w:hAnsi="Times New Roman" w:cs="Times New Roman"/>
          <w:sz w:val="32"/>
          <w:szCs w:val="32"/>
        </w:rPr>
        <w:t>﹝</w:t>
      </w:r>
      <w:r>
        <w:rPr>
          <w:rFonts w:ascii="Times New Roman" w:hAnsi="Times New Roman" w:eastAsia="仿宋_GB2312" w:cs="Times New Roman"/>
          <w:sz w:val="32"/>
          <w:szCs w:val="32"/>
        </w:rPr>
        <w:t>2020</w:t>
      </w:r>
      <w:r>
        <w:rPr>
          <w:rFonts w:ascii="Times New Roman" w:hAnsi="Times New Roman" w:cs="Times New Roman"/>
          <w:sz w:val="32"/>
          <w:szCs w:val="32"/>
        </w:rPr>
        <w:t>﹞</w:t>
      </w:r>
      <w:r>
        <w:rPr>
          <w:rFonts w:ascii="Times New Roman" w:hAnsi="Times New Roman" w:eastAsia="仿宋_GB2312" w:cs="Times New Roman"/>
          <w:sz w:val="32"/>
          <w:szCs w:val="32"/>
        </w:rPr>
        <w:t>16号）</w:t>
      </w:r>
      <w:r>
        <w:rPr>
          <w:rFonts w:ascii="Times New Roman" w:hAnsi="Times New Roman" w:eastAsia="仿宋_GB2312" w:cs="Times New Roman"/>
          <w:color w:val="333333"/>
          <w:sz w:val="32"/>
          <w:szCs w:val="32"/>
        </w:rPr>
        <w:t>基本保持一致。具体情况如下：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第一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大</w:t>
      </w:r>
      <w:r>
        <w:rPr>
          <w:rFonts w:ascii="Times New Roman" w:hAnsi="Times New Roman" w:eastAsia="仿宋_GB2312" w:cs="Times New Roman"/>
          <w:sz w:val="32"/>
          <w:szCs w:val="32"/>
        </w:rPr>
        <w:t>部分，建立企业分类综合评价工作机制，明确了4方面内容。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1.评价范围。本年度列入统计库的区内规模以上工业企业（不含综保区内企业）和营业收入 500—2000 万元的规模以下工业企业。其中，对规模以上工业企业的评价，集团公司下属子公司是规模以上工业企业的，下属子公司单独评价；集团公司下属子公司是规模以下工业企业的，营业收入达到上述标准的应进行评价；集团公司包含一产、二产、三产的，只对二产工业相关指标进行评价。电力、热力、燃气及水的生产和供应企业不列入评价范围。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评价指标。省、市将亩产效益评价分为规模以上和规模以下工业企业。对规上企业的评价，省里确定单位用地税收、单位能耗销售收入、单位污染物排放销售收入、研发经费投入强度、全员劳动生产率5项指标。市里增加了税收增幅、销售收入增幅、研发经费投入增幅3项指标，明确各区市可根据本地实际增设指标和加减分项。我区为引导企业加快科研创新和膨胀发展，增加利润增幅、工业总产值增幅、加分项3项指标。对规下企业的评价，按照省工信厅等12个部门联合下发的《关于做好2022年“亩产效益”评价改革工作的通知》（鲁工信运﹝2022﹞56号）要求，对规下工业企业的评价指标进行了修改，由原来的只评价单位用地税收，修改为评价单位用地税收和单位用地销售收入两项指标，总分100分。为突出税收贡献度，两项指标的权重分别定为70分和30分。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3.企业分类。该部分和省、市保持一致。依据评价得分，将企业分为A类（优先发展类）、B类（支持发展类）、C类（提升发展类）、D类（限制发展类）。每年度评价一次，根据评价结果调整企业分类。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 4.评价程序。该部分与省、市基本一致，提出建立健全企业评价和分类结果的审核、公示、公布。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333333"/>
          <w:sz w:val="32"/>
          <w:szCs w:val="32"/>
        </w:rPr>
        <w:t> 第二</w:t>
      </w:r>
      <w:r>
        <w:rPr>
          <w:rFonts w:hint="eastAsia" w:ascii="Times New Roman" w:hAnsi="Times New Roman" w:eastAsia="仿宋_GB2312" w:cs="Times New Roman"/>
          <w:color w:val="333333"/>
          <w:sz w:val="32"/>
          <w:szCs w:val="32"/>
        </w:rPr>
        <w:t>大</w:t>
      </w:r>
      <w:r>
        <w:rPr>
          <w:rFonts w:ascii="Times New Roman" w:hAnsi="Times New Roman" w:eastAsia="仿宋_GB2312" w:cs="Times New Roman"/>
          <w:color w:val="333333"/>
          <w:sz w:val="32"/>
          <w:szCs w:val="32"/>
        </w:rPr>
        <w:t>部分，结果运用。</w:t>
      </w:r>
      <w:r>
        <w:rPr>
          <w:rFonts w:ascii="Times New Roman" w:hAnsi="Times New Roman" w:eastAsia="仿宋_GB2312" w:cs="Times New Roman"/>
          <w:sz w:val="32"/>
          <w:szCs w:val="32"/>
        </w:rPr>
        <w:t>依法依规实施用地、用电、用水和财政等差别化政策体系，把企业分类综合评价结果广泛应用到工业经济各个领域，对ABCD四类企业实施主要资源要素差别化配置政策，倒逼企业提高资源要素利用效率，</w:t>
      </w:r>
      <w:r>
        <w:rPr>
          <w:rFonts w:ascii="Times New Roman" w:hAnsi="Times New Roman" w:eastAsia="仿宋_GB2312" w:cs="Times New Roman"/>
          <w:color w:val="333333"/>
          <w:sz w:val="32"/>
          <w:szCs w:val="32"/>
        </w:rPr>
        <w:t>推动企业管理和服务模式创新。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第三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</w:rPr>
        <w:t>大</w:t>
      </w: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  <w:t>部分，组织保障措施。建立健全推进“亩产效益”评价改革工作的体制机制，分别从加强组织领导、明确工作职责、狠抓结果运用、强化督导检查和严格保密措施5方面提出工作要求，确保责任链条无缝对接，各项改革措施落到实处、见到实效。</w:t>
      </w:r>
    </w:p>
    <w:p>
      <w:pPr>
        <w:ind w:firstLine="640" w:firstLineChars="200"/>
        <w:rPr>
          <w:rFonts w:hint="eastAsia" w:ascii="黑体" w:hAnsi="黑体" w:eastAsia="黑体" w:cs="Times New Roman"/>
          <w:color w:val="000000" w:themeColor="text1"/>
          <w:sz w:val="32"/>
          <w:szCs w:val="32"/>
        </w:rPr>
      </w:pPr>
      <w:r>
        <w:rPr>
          <w:rFonts w:hint="eastAsia" w:ascii="黑体" w:hAnsi="黑体" w:eastAsia="黑体" w:cs="Times New Roman"/>
          <w:color w:val="000000" w:themeColor="text1"/>
          <w:sz w:val="32"/>
          <w:szCs w:val="32"/>
        </w:rPr>
        <w:t>三、与试行本相比主要变化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《实施意见》与试行本相比较，主要变化有以下几个方面：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1.评价指标及权重</w:t>
      </w:r>
      <w:r>
        <w:rPr>
          <w:rFonts w:hint="eastAsia" w:ascii="Times New Roman" w:hAnsi="Times New Roman" w:eastAsia="仿宋_GB2312"/>
          <w:sz w:val="32"/>
          <w:szCs w:val="32"/>
        </w:rPr>
        <w:t>方面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按照省工信厅</w:t>
      </w:r>
      <w:r>
        <w:rPr>
          <w:rFonts w:hint="eastAsia" w:ascii="Times New Roman" w:hAnsi="Times New Roman" w:eastAsia="仿宋_GB2312"/>
          <w:sz w:val="32"/>
          <w:szCs w:val="32"/>
        </w:rPr>
        <w:t>等12个部门联合下发的</w:t>
      </w:r>
      <w:r>
        <w:rPr>
          <w:rFonts w:ascii="Times New Roman" w:hAnsi="Times New Roman" w:eastAsia="仿宋_GB2312"/>
          <w:sz w:val="32"/>
          <w:szCs w:val="32"/>
        </w:rPr>
        <w:t>《关于做好2022年“亩产效益”评价改革工作的通知》（鲁工信运</w:t>
      </w:r>
      <w:r>
        <w:rPr>
          <w:rFonts w:ascii="Times New Roman" w:hAnsi="宋体"/>
          <w:sz w:val="32"/>
          <w:szCs w:val="32"/>
        </w:rPr>
        <w:t>﹝</w:t>
      </w:r>
      <w:r>
        <w:rPr>
          <w:rFonts w:ascii="Times New Roman" w:hAnsi="Times New Roman"/>
          <w:sz w:val="32"/>
          <w:szCs w:val="32"/>
        </w:rPr>
        <w:t>2022</w:t>
      </w:r>
      <w:r>
        <w:rPr>
          <w:rFonts w:ascii="Times New Roman" w:hAnsi="宋体"/>
          <w:sz w:val="32"/>
          <w:szCs w:val="32"/>
        </w:rPr>
        <w:t>﹞</w:t>
      </w:r>
      <w:r>
        <w:rPr>
          <w:rFonts w:ascii="Times New Roman" w:hAnsi="Times New Roman"/>
          <w:sz w:val="32"/>
          <w:szCs w:val="32"/>
        </w:rPr>
        <w:t>56</w:t>
      </w:r>
      <w:r>
        <w:rPr>
          <w:rFonts w:hint="eastAsia" w:ascii="仿宋_GB2312" w:hAnsi="宋体" w:eastAsia="仿宋_GB2312"/>
          <w:sz w:val="32"/>
          <w:szCs w:val="32"/>
        </w:rPr>
        <w:t>号</w:t>
      </w:r>
      <w:r>
        <w:rPr>
          <w:rFonts w:ascii="Times New Roman" w:hAnsi="Times New Roman" w:eastAsia="仿宋_GB2312"/>
          <w:sz w:val="32"/>
          <w:szCs w:val="32"/>
        </w:rPr>
        <w:t>）（以下简称《通知》）要求，对规下工业企业的评价指标进行了修改，由原来的只评价单位用地税收，修改为评价单位用地税收和单位用地销售收入两项指标，</w:t>
      </w:r>
      <w:r>
        <w:rPr>
          <w:rFonts w:hint="eastAsia" w:ascii="Times New Roman" w:hAnsi="Times New Roman" w:eastAsia="仿宋_GB2312"/>
          <w:sz w:val="32"/>
          <w:szCs w:val="32"/>
        </w:rPr>
        <w:t>总分100分。</w:t>
      </w:r>
      <w:r>
        <w:rPr>
          <w:rFonts w:ascii="Times New Roman" w:hAnsi="Times New Roman" w:eastAsia="仿宋_GB2312"/>
          <w:sz w:val="32"/>
          <w:szCs w:val="32"/>
        </w:rPr>
        <w:t>为突出税收贡献度，两项指标的权重分别定为70分和30分。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2.加分项</w:t>
      </w:r>
      <w:r>
        <w:rPr>
          <w:rFonts w:hint="eastAsia" w:ascii="Times New Roman" w:hAnsi="Times New Roman" w:eastAsia="仿宋_GB2312"/>
          <w:sz w:val="32"/>
          <w:szCs w:val="32"/>
        </w:rPr>
        <w:t>方面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对部分加分项的名称</w:t>
      </w:r>
      <w:r>
        <w:rPr>
          <w:rFonts w:hint="eastAsia" w:ascii="Times New Roman" w:hAnsi="Times New Roman" w:eastAsia="仿宋_GB2312"/>
          <w:sz w:val="32"/>
          <w:szCs w:val="32"/>
        </w:rPr>
        <w:t>、各类别人才项目</w:t>
      </w:r>
      <w:r>
        <w:rPr>
          <w:rFonts w:ascii="Times New Roman" w:hAnsi="Times New Roman" w:eastAsia="仿宋_GB2312"/>
          <w:sz w:val="32"/>
          <w:szCs w:val="32"/>
        </w:rPr>
        <w:t>进行了修订</w:t>
      </w:r>
      <w:r>
        <w:rPr>
          <w:rFonts w:hint="eastAsia" w:ascii="Times New Roman" w:hAnsi="Times New Roman" w:eastAsia="仿宋_GB2312"/>
          <w:sz w:val="32"/>
          <w:szCs w:val="32"/>
        </w:rPr>
        <w:t>、合并</w:t>
      </w:r>
      <w:r>
        <w:rPr>
          <w:rFonts w:ascii="Times New Roman" w:hAnsi="Times New Roman" w:eastAsia="仿宋_GB2312"/>
          <w:sz w:val="32"/>
          <w:szCs w:val="32"/>
        </w:rPr>
        <w:t>。</w:t>
      </w:r>
      <w:r>
        <w:rPr>
          <w:rFonts w:hint="eastAsia" w:ascii="Times New Roman" w:hAnsi="Times New Roman" w:eastAsia="仿宋_GB2312"/>
          <w:sz w:val="32"/>
          <w:szCs w:val="32"/>
        </w:rPr>
        <w:t>一是对不再纳入省级部门评审的加分项进行了删除。在</w:t>
      </w:r>
      <w:r>
        <w:rPr>
          <w:rFonts w:ascii="Times New Roman" w:hAnsi="Times New Roman" w:eastAsia="仿宋_GB2312"/>
          <w:sz w:val="32"/>
          <w:szCs w:val="32"/>
        </w:rPr>
        <w:t>两年运行过程中，</w:t>
      </w:r>
      <w:r>
        <w:rPr>
          <w:rFonts w:hint="eastAsia" w:ascii="Times New Roman" w:hAnsi="Times New Roman" w:eastAsia="仿宋_GB2312"/>
          <w:sz w:val="32"/>
          <w:szCs w:val="32"/>
        </w:rPr>
        <w:t>像</w:t>
      </w:r>
      <w:r>
        <w:rPr>
          <w:rFonts w:ascii="Times New Roman" w:hAnsi="Times New Roman" w:eastAsia="仿宋_GB2312"/>
          <w:sz w:val="32"/>
          <w:szCs w:val="32"/>
        </w:rPr>
        <w:t>“产业技术创新战略联盟”</w:t>
      </w:r>
      <w:r>
        <w:rPr>
          <w:rFonts w:hint="eastAsia" w:ascii="Times New Roman" w:hAnsi="Times New Roman" w:eastAsia="仿宋_GB2312"/>
          <w:sz w:val="32"/>
          <w:szCs w:val="32"/>
        </w:rPr>
        <w:t>、</w:t>
      </w:r>
      <w:r>
        <w:rPr>
          <w:rFonts w:ascii="Times New Roman" w:hAnsi="Times New Roman" w:eastAsia="仿宋_GB2312"/>
          <w:sz w:val="32"/>
          <w:szCs w:val="32"/>
        </w:rPr>
        <w:t>“省名牌产品或著名商标”、“隐形冠军企业”等</w:t>
      </w:r>
      <w:r>
        <w:rPr>
          <w:rFonts w:hint="eastAsia" w:ascii="Times New Roman" w:hAnsi="Times New Roman" w:eastAsia="仿宋_GB2312"/>
          <w:sz w:val="32"/>
          <w:szCs w:val="32"/>
        </w:rPr>
        <w:t>创新平台或</w:t>
      </w:r>
      <w:r>
        <w:rPr>
          <w:rFonts w:ascii="Times New Roman" w:hAnsi="Times New Roman" w:eastAsia="仿宋_GB2312"/>
          <w:sz w:val="32"/>
          <w:szCs w:val="32"/>
        </w:rPr>
        <w:t>企业荣誉，省级部门不再组织申报</w:t>
      </w:r>
      <w:r>
        <w:rPr>
          <w:rFonts w:hint="eastAsia" w:ascii="Times New Roman" w:hAnsi="Times New Roman" w:eastAsia="仿宋_GB2312"/>
          <w:sz w:val="32"/>
          <w:szCs w:val="32"/>
        </w:rPr>
        <w:t>评审</w:t>
      </w:r>
      <w:r>
        <w:rPr>
          <w:rFonts w:ascii="Times New Roman" w:hAnsi="Times New Roman" w:eastAsia="仿宋_GB2312"/>
          <w:sz w:val="32"/>
          <w:szCs w:val="32"/>
        </w:rPr>
        <w:t>，所以</w:t>
      </w:r>
      <w:r>
        <w:rPr>
          <w:rFonts w:hint="eastAsia" w:ascii="Times New Roman" w:hAnsi="Times New Roman" w:eastAsia="仿宋_GB2312"/>
          <w:sz w:val="32"/>
          <w:szCs w:val="32"/>
        </w:rPr>
        <w:t>将该</w:t>
      </w:r>
      <w:r>
        <w:rPr>
          <w:rFonts w:ascii="Times New Roman" w:hAnsi="Times New Roman" w:eastAsia="仿宋_GB2312"/>
          <w:sz w:val="32"/>
          <w:szCs w:val="32"/>
        </w:rPr>
        <w:t>部分加分项名称进行了</w:t>
      </w:r>
      <w:r>
        <w:rPr>
          <w:rFonts w:hint="eastAsia" w:ascii="Times New Roman" w:hAnsi="Times New Roman" w:eastAsia="仿宋_GB2312"/>
          <w:sz w:val="32"/>
          <w:szCs w:val="32"/>
        </w:rPr>
        <w:t>删除。二是按照保密要求进行了调整。按照保密要求人才项目具体名称不能公开体现，所以按照国家、省、市不同级别合并为国家级人才项目、省级人才项目和市级人才项目。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具体修改内容为：（1）被认定为国家、省、市企业技术中心、制造业创新中心、工业设计中心、工程技术研究中心、工程研究中心、重点实验室、工程实验室等创新平台的企业，分别加 5 分、2 分、1 分。与试行本相比，去掉了“产业技术创新战略联盟”（该平台已不再评审）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（2）拥有中国驰名商标的企业，加 3 分；评定为山东省省长质量奖、威海市市长质量奖的企业，分别加 2 分、1 分。与试行本相比，去掉了“省名牌产品或著名商标”企业加1分的规定，省级部门对“省名牌产品或著名商标”不再评审。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（3）引进或申报入选国家级人才项目，加 5 分；引进或申报入选省级人才项目，加3 分；引进或申报入选市人才项目的企业，加 1 分。对试行本中的</w:t>
      </w:r>
      <w:bookmarkStart w:id="0" w:name="_GoBack"/>
      <w:bookmarkEnd w:id="0"/>
      <w:r>
        <w:rPr>
          <w:rFonts w:ascii="Times New Roman" w:hAnsi="Times New Roman" w:eastAsia="仿宋_GB2312"/>
          <w:sz w:val="32"/>
          <w:szCs w:val="32"/>
        </w:rPr>
        <w:t>省“一事一议”人才、“泰山产业领军人才”等按照级别进行了合并，同时按照保密原则，国家、省人才项目名称不能公开发布，所以统一修改为国家、省、市级人才项目。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（4）被认定为国家级、省级制造业单项冠军的企业，分别加 5 分、3 分；被认定为国家级“小巨人”、省级瞪羚企业的，分别加 3 分、1 分。与试行本相比，增加了国家级“小巨人”加分项，去掉了“隐形冠军”加分项（该荣誉不再进行评审）。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3.</w:t>
      </w:r>
      <w:r>
        <w:rPr>
          <w:rFonts w:hint="eastAsia" w:ascii="Times New Roman" w:hAnsi="Times New Roman" w:eastAsia="仿宋_GB2312"/>
          <w:sz w:val="32"/>
          <w:szCs w:val="32"/>
        </w:rPr>
        <w:t>主要指标方面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按照省《通知》规定，</w:t>
      </w:r>
      <w:r>
        <w:rPr>
          <w:rFonts w:ascii="Times New Roman" w:hAnsi="Times New Roman" w:eastAsia="仿宋_GB2312"/>
          <w:sz w:val="32"/>
          <w:szCs w:val="32"/>
        </w:rPr>
        <w:t>主要污染物指企业化学需氧量、氨氮、氮氧化物、挥发性有机物4项污染物的排放量之和，</w:t>
      </w:r>
      <w:r>
        <w:rPr>
          <w:rFonts w:hint="eastAsia" w:ascii="Times New Roman" w:hAnsi="Times New Roman" w:eastAsia="仿宋_GB2312"/>
          <w:sz w:val="32"/>
          <w:szCs w:val="32"/>
        </w:rPr>
        <w:t>在新的《实施意见》中</w:t>
      </w:r>
      <w:r>
        <w:rPr>
          <w:rFonts w:ascii="Times New Roman" w:hAnsi="Times New Roman" w:eastAsia="仿宋_GB2312"/>
          <w:sz w:val="32"/>
          <w:szCs w:val="32"/>
        </w:rPr>
        <w:t>将试行本中的二氧化碳修改为挥发性有机物。</w:t>
      </w:r>
    </w:p>
    <w:p>
      <w:pPr>
        <w:ind w:firstLine="640" w:firstLineChars="20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4.结果运用方面</w:t>
      </w:r>
    </w:p>
    <w:p>
      <w:pPr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D类（限制发展类）企业中第一条由“</w:t>
      </w:r>
      <w:r>
        <w:rPr>
          <w:rFonts w:ascii="Times New Roman" w:hAnsi="Times New Roman" w:eastAsia="仿宋_GB2312"/>
          <w:sz w:val="32"/>
          <w:szCs w:val="32"/>
        </w:rPr>
        <w:t>1</w:t>
      </w:r>
      <w:r>
        <w:rPr>
          <w:rFonts w:hint="eastAsia"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仿宋_GB2312"/>
          <w:sz w:val="32"/>
          <w:szCs w:val="32"/>
        </w:rPr>
        <w:t>当年不得参评年度各类评先选优活动</w:t>
      </w:r>
      <w:r>
        <w:rPr>
          <w:rFonts w:hint="eastAsia" w:ascii="Times New Roman" w:hAnsi="Times New Roman" w:eastAsia="仿宋_GB2312"/>
          <w:sz w:val="32"/>
          <w:szCs w:val="32"/>
        </w:rPr>
        <w:t>”修改为“</w:t>
      </w:r>
      <w:r>
        <w:rPr>
          <w:rFonts w:ascii="Times New Roman" w:hAnsi="Times New Roman" w:eastAsia="仿宋_GB2312"/>
          <w:sz w:val="32"/>
          <w:szCs w:val="32"/>
        </w:rPr>
        <w:t>1</w:t>
      </w:r>
      <w:r>
        <w:rPr>
          <w:rFonts w:hint="eastAsia"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仿宋_GB2312"/>
          <w:sz w:val="32"/>
          <w:szCs w:val="32"/>
        </w:rPr>
        <w:t>当年不得参评年度各类评先选优活动</w:t>
      </w:r>
      <w:r>
        <w:rPr>
          <w:rFonts w:hint="eastAsia" w:ascii="Times New Roman" w:hAnsi="Times New Roman" w:eastAsia="仿宋_GB2312"/>
          <w:sz w:val="32"/>
          <w:szCs w:val="32"/>
        </w:rPr>
        <w:t>，不支持</w:t>
      </w:r>
      <w:r>
        <w:rPr>
          <w:rFonts w:ascii="Times New Roman" w:hAnsi="Times New Roman" w:eastAsia="仿宋_GB2312"/>
          <w:sz w:val="32"/>
          <w:szCs w:val="32"/>
        </w:rPr>
        <w:t>享受财政扶持政策奖励、补助</w:t>
      </w:r>
      <w:r>
        <w:rPr>
          <w:rFonts w:hint="eastAsia" w:ascii="Times New Roman" w:hAnsi="Times New Roman" w:eastAsia="仿宋_GB2312"/>
          <w:sz w:val="32"/>
          <w:szCs w:val="32"/>
        </w:rPr>
        <w:t>。”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其余评价范围、赋分方法、分类排序和比例、数据管理、结果运用等其他重要内容基本延续试行本</w:t>
      </w: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hint="eastAsia" w:ascii="Times New Roman" w:hAnsi="Times New Roman" w:eastAsia="仿宋_GB2312"/>
          <w:sz w:val="32"/>
          <w:szCs w:val="32"/>
        </w:rPr>
      </w:pPr>
    </w:p>
    <w:p>
      <w:pPr>
        <w:pStyle w:val="4"/>
        <w:spacing w:before="0" w:beforeAutospacing="0" w:after="0" w:afterAutospacing="0"/>
        <w:ind w:firstLine="640" w:firstLineChars="200"/>
        <w:jc w:val="both"/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联系人：郭旭               联系电话：5977756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mYyMGZiMmJiYTVhMmE3YTE4MjhiYjdlZWQzMzBhOWEifQ=="/>
  </w:docVars>
  <w:rsids>
    <w:rsidRoot w:val="00001C6F"/>
    <w:rsid w:val="00001C6F"/>
    <w:rsid w:val="00637D6E"/>
    <w:rsid w:val="006D1A3D"/>
    <w:rsid w:val="00950AA4"/>
    <w:rsid w:val="00A10666"/>
    <w:rsid w:val="00AB2CA6"/>
    <w:rsid w:val="00C802DA"/>
    <w:rsid w:val="00F3426D"/>
    <w:rsid w:val="492A3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6</Pages>
  <Words>2492</Words>
  <Characters>2560</Characters>
  <Lines>18</Lines>
  <Paragraphs>5</Paragraphs>
  <TotalTime>24</TotalTime>
  <ScaleCrop>false</ScaleCrop>
  <LinksUpToDate>false</LinksUpToDate>
  <CharactersWithSpaces>2599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2022-08-15T08:34:00Z</dcterms:created>
  <dc:creator>Windows User</dc:creator>
  <cp:lastModifiedBy>WPS_1591311884</cp:lastModifiedBy>
  <dcterms:modified xsi:type="dcterms:W3CDTF">2022-12-10T11:22:51Z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582B34CE034E45BCA6EC5AC5606739A8</vt:lpwstr>
  </property>
</Properties>
</file>