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jc w:val="center"/>
        <w:rPr>
          <w:rFonts w:ascii="方正小标宋简体" w:hAnsi="微软雅黑" w:eastAsia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</w:rPr>
        <w:t>经济发展局关于《“亩产效益”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</w:rPr>
        <w:t>评价改革工作的实施意见》解读</w:t>
      </w:r>
    </w:p>
    <w:p>
      <w:pPr>
        <w:pStyle w:val="4"/>
        <w:spacing w:before="0" w:beforeAutospacing="0" w:after="0" w:afterAutospacing="0"/>
        <w:rPr>
          <w:color w:val="333333"/>
          <w:sz w:val="35"/>
          <w:szCs w:val="35"/>
        </w:rPr>
      </w:pP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一、起草背景和过程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《威海经济技术开发区关于开展“亩产效益”评价改革工作的实施意见》（以下简称《实施意见》）是在2020年试行本基础上修订的，《威海经济技术开发区关于开展“亩产效益”评价改革工作的实施意见（试行）》（经技区</w:t>
      </w:r>
      <w:r>
        <w:rPr>
          <w:rFonts w:ascii="Times New Roman" w:hAnsi="Times New Roman" w:cs="Times New Roman"/>
          <w:sz w:val="32"/>
          <w:szCs w:val="32"/>
        </w:rPr>
        <w:t>﹝</w:t>
      </w:r>
      <w:r>
        <w:rPr>
          <w:rFonts w:ascii="Times New Roman" w:hAnsi="Times New Roman" w:eastAsia="仿宋_GB2312" w:cs="Times New Roman"/>
          <w:sz w:val="32"/>
          <w:szCs w:val="32"/>
        </w:rPr>
        <w:t>2020</w:t>
      </w:r>
      <w:r>
        <w:rPr>
          <w:rFonts w:ascii="Times New Roman" w:hAnsi="Times New Roman" w:cs="Times New Roman"/>
          <w:sz w:val="32"/>
          <w:szCs w:val="32"/>
        </w:rPr>
        <w:t>﹞</w:t>
      </w:r>
      <w:r>
        <w:rPr>
          <w:rFonts w:ascii="Times New Roman" w:hAnsi="Times New Roman" w:eastAsia="仿宋_GB2312" w:cs="Times New Roman"/>
          <w:sz w:val="32"/>
          <w:szCs w:val="32"/>
        </w:rPr>
        <w:t>16号）于今年5月份到期，为继续推动我区经济发展质量变革、效率变革、动力变革，提高全要素生产率，实现工业经济高质量发展，经发局作为“亩产效益”评价改革的牵头部门，前期根据《山东省人民政府关于开展“亩产效益”评价改革工作的指导意见》和《威海市人民政府关于开展“亩产效益”评价改革工作的实施意见》的要求和《关于做好2022年“亩产效益”评价改革工作的通知》（鲁工信运﹝2022﹞56号）要求，研究修订了《威海经济技术开发区关于开展“亩产效益”评价改革工作的实施方案》。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color w:val="333333"/>
          <w:sz w:val="32"/>
          <w:szCs w:val="32"/>
        </w:rPr>
        <w:t>二、主要内容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《意见》结构和主要内容与</w:t>
      </w:r>
      <w:r>
        <w:rPr>
          <w:rFonts w:ascii="Times New Roman" w:hAnsi="Times New Roman" w:eastAsia="仿宋_GB2312" w:cs="Times New Roman"/>
          <w:sz w:val="32"/>
          <w:szCs w:val="32"/>
        </w:rPr>
        <w:t>《威海经济技术开发区关于开展“亩产效益”评价改革工作的实施意见（试行）》（经技区</w:t>
      </w:r>
      <w:r>
        <w:rPr>
          <w:rFonts w:ascii="Times New Roman" w:hAnsi="Times New Roman" w:cs="Times New Roman"/>
          <w:sz w:val="32"/>
          <w:szCs w:val="32"/>
        </w:rPr>
        <w:t>﹝</w:t>
      </w:r>
      <w:r>
        <w:rPr>
          <w:rFonts w:ascii="Times New Roman" w:hAnsi="Times New Roman" w:eastAsia="仿宋_GB2312" w:cs="Times New Roman"/>
          <w:sz w:val="32"/>
          <w:szCs w:val="32"/>
        </w:rPr>
        <w:t>2020</w:t>
      </w:r>
      <w:r>
        <w:rPr>
          <w:rFonts w:ascii="Times New Roman" w:hAnsi="Times New Roman" w:cs="Times New Roman"/>
          <w:sz w:val="32"/>
          <w:szCs w:val="32"/>
        </w:rPr>
        <w:t>﹞</w:t>
      </w:r>
      <w:r>
        <w:rPr>
          <w:rFonts w:ascii="Times New Roman" w:hAnsi="Times New Roman" w:eastAsia="仿宋_GB2312" w:cs="Times New Roman"/>
          <w:sz w:val="32"/>
          <w:szCs w:val="32"/>
        </w:rPr>
        <w:t>16号）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基本保持一致。具体情况如下：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第一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大</w:t>
      </w:r>
      <w:r>
        <w:rPr>
          <w:rFonts w:ascii="Times New Roman" w:hAnsi="Times New Roman" w:eastAsia="仿宋_GB2312" w:cs="Times New Roman"/>
          <w:sz w:val="32"/>
          <w:szCs w:val="32"/>
        </w:rPr>
        <w:t>部分，建立企业分类综合评价工作机制，明确了4方面内容。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1.评价范围。本年度列入统计库的区内规模以上工业企业（不含综保区内企业）和营业收入 500—2000 万元的规模以下工业企业。其中，对规模以上工业企业的评价，集团公司下属子公司是规模以上工业企业的，下属子公司单独评价；集团公司下属子公司是规模以下工业企业的，营业收入达到上述标准的应进行评价；集团公司包含一产、二产、三产的，只对二产工业相关指标进行评价。电力、热力、燃气及水的生产和供应企业不列入评价范围。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评价指标。省、市将亩产效益评价分为规模以上和规模以下工业企业。对规上企业的评价，省里确定单位用地税收、单位能耗销售收入、单位污染物排放销售收入、研发经费投入强度、全员劳动生产率5项指标。市里增加了税收增幅、销售收入增幅、研发经费投入增幅3项指标，明确各区市可根据本地实际增设指标和加减分项。我区为引导企业加快科研创新和膨胀发展，增加利润增幅、工业总产值增幅、加分项3项指标。对规下企业的评价，按照省工信厅等12个部门联合下发的《关于做好2022年“亩产效益”评价改革工作的通知》（鲁工信运﹝2022﹞56号）要求，对规下工业企业的评价指标进行了修改，由原来的只评价单位用地税收，修改为评价单位用地税收和单位用地销售收入两项指标，总分100分。为突出税收贡献度，两项指标的权重分别定为70分和30分。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3.企业分类。该部分和省、市保持一致。依据评价得分，将企业分为A类（优先发展类）、B类（支持发展类）、C类（提升发展类）、D类（限制发展类）。每年度评价一次，根据评价结果调整企业分类。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 4.评价程序。该部分与省、市基本一致，提出建立健全企业评价和分类结果的审核、公示、公布。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 第二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</w:rPr>
        <w:t>大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部分，结果运用。</w:t>
      </w:r>
      <w:r>
        <w:rPr>
          <w:rFonts w:ascii="Times New Roman" w:hAnsi="Times New Roman" w:eastAsia="仿宋_GB2312" w:cs="Times New Roman"/>
          <w:sz w:val="32"/>
          <w:szCs w:val="32"/>
        </w:rPr>
        <w:t>依法依规实施用地、用电、用水和财政等差别化政策体系，把企业分类综合评价结果广泛应用到工业经济各个领域，对ABCD四类企业实施主要资源要素差别化配置政策，倒逼企业提高资源要素利用效率，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推动企业管理和服务模式创新。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第三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大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部分，组织保障措施。建立健全推进“亩产效益”评价改革工作的体制机制，分别从加强组织领导、明确工作职责、狠抓结果运用、强化督导检查和严格保密措施5方面提出工作要求，确保责任链条无缝对接，各项改革措施落到实处、见到实效。</w:t>
      </w:r>
    </w:p>
    <w:p>
      <w:pPr>
        <w:ind w:firstLine="640" w:firstLineChars="200"/>
        <w:rPr>
          <w:rFonts w:hint="eastAsia" w:ascii="黑体" w:hAnsi="黑体" w:eastAsia="黑体" w:cs="Times New Roman"/>
          <w:color w:val="000000" w:themeColor="text1"/>
          <w:sz w:val="32"/>
          <w:szCs w:val="32"/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</w:rPr>
        <w:t>三、与试行本相比主要变化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《实施意见》与试行本相比较，主要变化有以下几个方面：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1.评价指标及权重</w:t>
      </w:r>
      <w:r>
        <w:rPr>
          <w:rFonts w:hint="eastAsia" w:ascii="Times New Roman" w:hAnsi="Times New Roman" w:eastAsia="仿宋_GB2312"/>
          <w:sz w:val="32"/>
          <w:szCs w:val="32"/>
        </w:rPr>
        <w:t>方面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按照省工信厅</w:t>
      </w:r>
      <w:r>
        <w:rPr>
          <w:rFonts w:hint="eastAsia" w:ascii="Times New Roman" w:hAnsi="Times New Roman" w:eastAsia="仿宋_GB2312"/>
          <w:sz w:val="32"/>
          <w:szCs w:val="32"/>
        </w:rPr>
        <w:t>等12个部门联合下发的</w:t>
      </w:r>
      <w:r>
        <w:rPr>
          <w:rFonts w:ascii="Times New Roman" w:hAnsi="Times New Roman" w:eastAsia="仿宋_GB2312"/>
          <w:sz w:val="32"/>
          <w:szCs w:val="32"/>
        </w:rPr>
        <w:t>《关于做好2022年“亩产效益”评价改革工作的通知》（鲁工信运</w:t>
      </w:r>
      <w:r>
        <w:rPr>
          <w:rFonts w:ascii="Times New Roman" w:hAnsi="宋体"/>
          <w:sz w:val="32"/>
          <w:szCs w:val="32"/>
        </w:rPr>
        <w:t>﹝</w:t>
      </w:r>
      <w:r>
        <w:rPr>
          <w:rFonts w:ascii="Times New Roman" w:hAnsi="Times New Roman"/>
          <w:sz w:val="32"/>
          <w:szCs w:val="32"/>
        </w:rPr>
        <w:t>2022</w:t>
      </w:r>
      <w:r>
        <w:rPr>
          <w:rFonts w:ascii="Times New Roman" w:hAnsi="宋体"/>
          <w:sz w:val="32"/>
          <w:szCs w:val="32"/>
        </w:rPr>
        <w:t>﹞</w:t>
      </w:r>
      <w:r>
        <w:rPr>
          <w:rFonts w:ascii="Times New Roman" w:hAnsi="Times New Roman"/>
          <w:sz w:val="32"/>
          <w:szCs w:val="32"/>
        </w:rPr>
        <w:t>56</w:t>
      </w:r>
      <w:r>
        <w:rPr>
          <w:rFonts w:hint="eastAsia" w:ascii="仿宋_GB2312" w:hAnsi="宋体" w:eastAsia="仿宋_GB2312"/>
          <w:sz w:val="32"/>
          <w:szCs w:val="32"/>
        </w:rPr>
        <w:t>号</w:t>
      </w:r>
      <w:r>
        <w:rPr>
          <w:rFonts w:ascii="Times New Roman" w:hAnsi="Times New Roman" w:eastAsia="仿宋_GB2312"/>
          <w:sz w:val="32"/>
          <w:szCs w:val="32"/>
        </w:rPr>
        <w:t>）（以下简称《通知》）要求，对规下工业企业的评价指标进行了修改，由原来的只评价单位用地税收，修改为评价单位用地税收和单位用地销售收入两项指标，</w:t>
      </w:r>
      <w:r>
        <w:rPr>
          <w:rFonts w:hint="eastAsia" w:ascii="Times New Roman" w:hAnsi="Times New Roman" w:eastAsia="仿宋_GB2312"/>
          <w:sz w:val="32"/>
          <w:szCs w:val="32"/>
        </w:rPr>
        <w:t>总分100分。</w:t>
      </w:r>
      <w:r>
        <w:rPr>
          <w:rFonts w:ascii="Times New Roman" w:hAnsi="Times New Roman" w:eastAsia="仿宋_GB2312"/>
          <w:sz w:val="32"/>
          <w:szCs w:val="32"/>
        </w:rPr>
        <w:t>为突出税收贡献度，两项指标的权重分别定为70分和30分。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2.加分项</w:t>
      </w:r>
      <w:r>
        <w:rPr>
          <w:rFonts w:hint="eastAsia" w:ascii="Times New Roman" w:hAnsi="Times New Roman" w:eastAsia="仿宋_GB2312"/>
          <w:sz w:val="32"/>
          <w:szCs w:val="32"/>
        </w:rPr>
        <w:t>方面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对部分加分项的名称</w:t>
      </w:r>
      <w:r>
        <w:rPr>
          <w:rFonts w:hint="eastAsia" w:ascii="Times New Roman" w:hAnsi="Times New Roman" w:eastAsia="仿宋_GB2312"/>
          <w:sz w:val="32"/>
          <w:szCs w:val="32"/>
        </w:rPr>
        <w:t>、各类别人才项目</w:t>
      </w:r>
      <w:r>
        <w:rPr>
          <w:rFonts w:ascii="Times New Roman" w:hAnsi="Times New Roman" w:eastAsia="仿宋_GB2312"/>
          <w:sz w:val="32"/>
          <w:szCs w:val="32"/>
        </w:rPr>
        <w:t>进行了修订</w:t>
      </w:r>
      <w:r>
        <w:rPr>
          <w:rFonts w:hint="eastAsia" w:ascii="Times New Roman" w:hAnsi="Times New Roman" w:eastAsia="仿宋_GB2312"/>
          <w:sz w:val="32"/>
          <w:szCs w:val="32"/>
        </w:rPr>
        <w:t>、合并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一是对不再纳入省级部门评审的加分项进行了删除。在</w:t>
      </w:r>
      <w:r>
        <w:rPr>
          <w:rFonts w:ascii="Times New Roman" w:hAnsi="Times New Roman" w:eastAsia="仿宋_GB2312"/>
          <w:sz w:val="32"/>
          <w:szCs w:val="32"/>
        </w:rPr>
        <w:t>两年运行过程中，</w:t>
      </w:r>
      <w:r>
        <w:rPr>
          <w:rFonts w:hint="eastAsia" w:ascii="Times New Roman" w:hAnsi="Times New Roman" w:eastAsia="仿宋_GB2312"/>
          <w:sz w:val="32"/>
          <w:szCs w:val="32"/>
        </w:rPr>
        <w:t>像</w:t>
      </w:r>
      <w:r>
        <w:rPr>
          <w:rFonts w:ascii="Times New Roman" w:hAnsi="Times New Roman" w:eastAsia="仿宋_GB2312"/>
          <w:sz w:val="32"/>
          <w:szCs w:val="32"/>
        </w:rPr>
        <w:t>“产业技术创新战略联盟”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“省名牌产品或著名商标”、“隐形冠军企业”等</w:t>
      </w:r>
      <w:r>
        <w:rPr>
          <w:rFonts w:hint="eastAsia" w:ascii="Times New Roman" w:hAnsi="Times New Roman" w:eastAsia="仿宋_GB2312"/>
          <w:sz w:val="32"/>
          <w:szCs w:val="32"/>
        </w:rPr>
        <w:t>创新平台或</w:t>
      </w:r>
      <w:r>
        <w:rPr>
          <w:rFonts w:ascii="Times New Roman" w:hAnsi="Times New Roman" w:eastAsia="仿宋_GB2312"/>
          <w:sz w:val="32"/>
          <w:szCs w:val="32"/>
        </w:rPr>
        <w:t>企业荣誉，省级部门不再组织申报</w:t>
      </w:r>
      <w:r>
        <w:rPr>
          <w:rFonts w:hint="eastAsia" w:ascii="Times New Roman" w:hAnsi="Times New Roman" w:eastAsia="仿宋_GB2312"/>
          <w:sz w:val="32"/>
          <w:szCs w:val="32"/>
        </w:rPr>
        <w:t>评审</w:t>
      </w:r>
      <w:r>
        <w:rPr>
          <w:rFonts w:ascii="Times New Roman" w:hAnsi="Times New Roman" w:eastAsia="仿宋_GB2312"/>
          <w:sz w:val="32"/>
          <w:szCs w:val="32"/>
        </w:rPr>
        <w:t>，所以</w:t>
      </w:r>
      <w:r>
        <w:rPr>
          <w:rFonts w:hint="eastAsia" w:ascii="Times New Roman" w:hAnsi="Times New Roman" w:eastAsia="仿宋_GB2312"/>
          <w:sz w:val="32"/>
          <w:szCs w:val="32"/>
        </w:rPr>
        <w:t>将该</w:t>
      </w:r>
      <w:r>
        <w:rPr>
          <w:rFonts w:ascii="Times New Roman" w:hAnsi="Times New Roman" w:eastAsia="仿宋_GB2312"/>
          <w:sz w:val="32"/>
          <w:szCs w:val="32"/>
        </w:rPr>
        <w:t>部分加分项名称进行了</w:t>
      </w:r>
      <w:r>
        <w:rPr>
          <w:rFonts w:hint="eastAsia" w:ascii="Times New Roman" w:hAnsi="Times New Roman" w:eastAsia="仿宋_GB2312"/>
          <w:sz w:val="32"/>
          <w:szCs w:val="32"/>
        </w:rPr>
        <w:t>删除。二是按照保密要求进行了调整。按照保密要求人才项目具体名称不能公开体现，所以按照国家、省、市不同级别合并为国家级人才项目、省级人才项目和市级人才项目。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具体修改内容为：（1）被认定为国家、省、市企业技术中心、制造业创新中心、工业设计中心、工程技术研究中心、工程研究中心、重点实验室、工程实验室等创新平台的企业，分别加 5 分、2 分、1 分。与试行本相比，去掉了“产业技术创新战略联盟”（该平台已不再评审）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（2）拥有中国驰名商标的企业，加 3 分；评定为山东省省长质量奖、威海市市长质量奖的企业，分别加 2 分、1 分。与试行本相比，去掉了“省名牌产品或著名商标”企业加1分的规定，省级部门对“省名牌产品或著名商标”不再评审。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（3）引进或申报入选国家级人才项目，加 5 分；引进或申报入选省级人才项目，加3 分；引进或申报入选市人才项目的企业，加 1 分。对试行本中的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省“一事一议”人才、“泰山产业领军人才”等按照级别进行了合并，同时按照保密原则，国家、省人才项目名称不能公开发布，所以统一修改为国家、省、市级人才项目。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（4）被认定为国家级、省级制造业单项冠军的企业，分别加 5 分、3 分；被认定为国家级“小巨人”、省级瞪羚企业的，分别加 3 分、1 分。与试行本相比，增加了国家级“小巨人”加分项，去掉了“隐形冠军”加分项（该荣誉不再进行评审）。</w:t>
      </w:r>
    </w:p>
    <w:p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</w:t>
      </w:r>
      <w:r>
        <w:rPr>
          <w:rFonts w:hint="eastAsia" w:ascii="Times New Roman" w:hAnsi="Times New Roman" w:eastAsia="仿宋_GB2312"/>
          <w:sz w:val="32"/>
          <w:szCs w:val="32"/>
        </w:rPr>
        <w:t>主要指标方面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按照省《通知》规定，</w:t>
      </w:r>
      <w:r>
        <w:rPr>
          <w:rFonts w:ascii="Times New Roman" w:hAnsi="Times New Roman" w:eastAsia="仿宋_GB2312"/>
          <w:sz w:val="32"/>
          <w:szCs w:val="32"/>
        </w:rPr>
        <w:t>主要污染物指企业化学需氧量、氨氮、氮氧化物、挥发性有机物4项污染物的排放量之和，</w:t>
      </w:r>
      <w:r>
        <w:rPr>
          <w:rFonts w:hint="eastAsia" w:ascii="Times New Roman" w:hAnsi="Times New Roman" w:eastAsia="仿宋_GB2312"/>
          <w:sz w:val="32"/>
          <w:szCs w:val="32"/>
        </w:rPr>
        <w:t>在新的《实施意见》中</w:t>
      </w:r>
      <w:r>
        <w:rPr>
          <w:rFonts w:ascii="Times New Roman" w:hAnsi="Times New Roman" w:eastAsia="仿宋_GB2312"/>
          <w:sz w:val="32"/>
          <w:szCs w:val="32"/>
        </w:rPr>
        <w:t>将试行本中的二氧化碳修改为挥发性有机物。</w:t>
      </w:r>
    </w:p>
    <w:p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4.结果运用方面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D类（限制发展类）企业中第一条由“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当年不得参评年度各类评先选优活动</w:t>
      </w:r>
      <w:r>
        <w:rPr>
          <w:rFonts w:hint="eastAsia" w:ascii="Times New Roman" w:hAnsi="Times New Roman" w:eastAsia="仿宋_GB2312"/>
          <w:sz w:val="32"/>
          <w:szCs w:val="32"/>
        </w:rPr>
        <w:t>”修改为“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当年不得参评年度各类评先选优活动</w:t>
      </w:r>
      <w:r>
        <w:rPr>
          <w:rFonts w:hint="eastAsia" w:ascii="Times New Roman" w:hAnsi="Times New Roman" w:eastAsia="仿宋_GB2312"/>
          <w:sz w:val="32"/>
          <w:szCs w:val="32"/>
        </w:rPr>
        <w:t>，不支持</w:t>
      </w:r>
      <w:r>
        <w:rPr>
          <w:rFonts w:ascii="Times New Roman" w:hAnsi="Times New Roman" w:eastAsia="仿宋_GB2312"/>
          <w:sz w:val="32"/>
          <w:szCs w:val="32"/>
        </w:rPr>
        <w:t>享受财政扶持政策奖励、补助</w:t>
      </w:r>
      <w:r>
        <w:rPr>
          <w:rFonts w:hint="eastAsia" w:ascii="Times New Roman" w:hAnsi="Times New Roman" w:eastAsia="仿宋_GB2312"/>
          <w:sz w:val="32"/>
          <w:szCs w:val="32"/>
        </w:rPr>
        <w:t>。”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其余评价范围、赋分方法、分类排序和比例、数据管理、结果运用等其他重要内容基本延续试行本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联系人：郭旭               联系电话：5977756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YyMGZiMmJiYTVhMmE3YTE4MjhiYjdlZWQzMzBhOWEifQ=="/>
  </w:docVars>
  <w:rsids>
    <w:rsidRoot w:val="00001C6F"/>
    <w:rsid w:val="00001C6F"/>
    <w:rsid w:val="00637D6E"/>
    <w:rsid w:val="006D1A3D"/>
    <w:rsid w:val="00950AA4"/>
    <w:rsid w:val="00A10666"/>
    <w:rsid w:val="00AB2CA6"/>
    <w:rsid w:val="00C802DA"/>
    <w:rsid w:val="00F3426D"/>
    <w:rsid w:val="492A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2492</Words>
  <Characters>2560</Characters>
  <Lines>18</Lines>
  <Paragraphs>5</Paragraphs>
  <TotalTime>24</TotalTime>
  <ScaleCrop>false</ScaleCrop>
  <LinksUpToDate>false</LinksUpToDate>
  <CharactersWithSpaces>2599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2022-08-15T08:34:00Z</dcterms:created>
  <dc:creator>Windows User</dc:creator>
  <cp:lastModifiedBy>WPS_1591311884</cp:lastModifiedBy>
  <dcterms:modified xsi:type="dcterms:W3CDTF">2022-12-10T11:22:51Z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582B34CE034E45BCA6EC5AC5606739A8</vt:lpwstr>
  </property>
</Properties>
</file>