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0" w:lineRule="exact"/>
        <w:textAlignment w:val="auto"/>
        <w:rPr>
          <w:rFonts w:ascii="Times New Roman" w:hAnsi="Times New Roman" w:eastAsia="黑体" w:cs="Times New Roman"/>
          <w:sz w:val="32"/>
          <w:szCs w:val="32"/>
        </w:rPr>
      </w:pPr>
      <w:r>
        <w:rPr>
          <w:rFonts w:ascii="Times New Roman" w:hAnsi="Times New Roman" w:eastAsia="黑体" w:cs="Times New Roman"/>
          <w:sz w:val="32"/>
          <w:szCs w:val="32"/>
        </w:rPr>
        <w:t>附件1</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威海经济技术开发区</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ascii="Times New Roman" w:hAnsi="Times New Roman" w:eastAsia="方正小标宋简体" w:cs="Times New Roman"/>
          <w:sz w:val="44"/>
          <w:szCs w:val="44"/>
        </w:rPr>
      </w:pPr>
      <w:bookmarkStart w:id="0" w:name="_GoBack"/>
      <w:r>
        <w:rPr>
          <w:rFonts w:ascii="Times New Roman" w:hAnsi="Times New Roman" w:eastAsia="方正小标宋简体" w:cs="Times New Roman"/>
          <w:sz w:val="44"/>
          <w:szCs w:val="44"/>
        </w:rPr>
        <w:t>专利技术转移转化专项计划资金分配方案</w:t>
      </w:r>
    </w:p>
    <w:bookmarkEnd w:id="0"/>
    <w:p>
      <w:pPr>
        <w:keepNext w:val="0"/>
        <w:keepLines w:val="0"/>
        <w:pageBreakBefore w:val="0"/>
        <w:widowControl w:val="0"/>
        <w:kinsoku/>
        <w:wordWrap/>
        <w:overflowPunct/>
        <w:topLinePunct w:val="0"/>
        <w:autoSpaceDE/>
        <w:autoSpaceDN/>
        <w:bidi w:val="0"/>
        <w:adjustRightInd/>
        <w:snapToGrid/>
        <w:spacing w:line="570" w:lineRule="exact"/>
        <w:textAlignment w:val="auto"/>
        <w:rPr>
          <w:rFonts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为推动山东省专利技术转移转化专项计划工作顺利开展并取得良好成效，提高财政资金使用效益，根据山东省市场监督管理局印发《关于开展专利技术转移转化专项计划试点的通知》、《威海经济技术开发区专利技术转移转化项目实施方案》有关要求和重点工作，现就专项资金使用制定本方案。</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eastAsia="黑体" w:cs="Times New Roman"/>
          <w:sz w:val="32"/>
          <w:szCs w:val="32"/>
        </w:rPr>
      </w:pPr>
      <w:r>
        <w:rPr>
          <w:rFonts w:ascii="Times New Roman" w:hAnsi="Times New Roman" w:eastAsia="黑体" w:cs="Times New Roman"/>
          <w:sz w:val="32"/>
          <w:szCs w:val="32"/>
        </w:rPr>
        <w:t>一、</w:t>
      </w:r>
      <w:r>
        <w:rPr>
          <w:rFonts w:hint="eastAsia" w:ascii="Times New Roman" w:hAnsi="Times New Roman" w:eastAsia="黑体" w:cs="Times New Roman"/>
          <w:sz w:val="32"/>
          <w:szCs w:val="32"/>
          <w:lang w:val="en-US" w:eastAsia="zh-CN"/>
        </w:rPr>
        <w:t>奖补</w:t>
      </w:r>
      <w:r>
        <w:rPr>
          <w:rFonts w:ascii="Times New Roman" w:hAnsi="Times New Roman" w:eastAsia="黑体" w:cs="Times New Roman"/>
          <w:sz w:val="32"/>
          <w:szCs w:val="32"/>
        </w:rPr>
        <w:t>方向</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cs="Times New Roman"/>
        </w:rPr>
      </w:pPr>
      <w:r>
        <w:rPr>
          <w:rFonts w:ascii="Times New Roman" w:hAnsi="Times New Roman" w:eastAsia="仿宋_GB2312" w:cs="Times New Roman"/>
          <w:sz w:val="32"/>
          <w:szCs w:val="32"/>
        </w:rPr>
        <w:t>专项资金主要用于企业专利申请前评估、筛选高价值专利入库、高价值发明专利培育（创造、受让）、征集中小企业专利技术需求、企业质押融资、专利许可合同备案以及打造民办非盈利知识产权运营机构（企业专利导航、知识产权贯标、专利许可备案、惠企活动）</w:t>
      </w:r>
      <w:r>
        <w:rPr>
          <w:rFonts w:hint="eastAsia" w:ascii="Times New Roman" w:hAnsi="Times New Roman" w:eastAsia="仿宋_GB2312" w:cs="Times New Roman"/>
          <w:sz w:val="32"/>
          <w:szCs w:val="32"/>
          <w:lang w:val="en-US" w:eastAsia="zh-CN"/>
        </w:rPr>
        <w:t>等</w:t>
      </w:r>
      <w:r>
        <w:rPr>
          <w:rFonts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eastAsia="黑体" w:cs="Times New Roman"/>
          <w:sz w:val="32"/>
          <w:szCs w:val="32"/>
        </w:rPr>
      </w:pPr>
      <w:r>
        <w:rPr>
          <w:rFonts w:ascii="Times New Roman" w:hAnsi="Times New Roman" w:eastAsia="黑体" w:cs="Times New Roman"/>
          <w:sz w:val="32"/>
          <w:szCs w:val="32"/>
        </w:rPr>
        <w:t>二、资金分配</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高价值发明专利培育（创造、受让）80万元、打造民办非盈利知识产权运营机构（企业专利导航、知识产权贯标、专利许可备案、惠企活动）20万元，扶持资金总计100万元。</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eastAsia="仿宋_GB2312" w:cs="Times New Roman"/>
          <w:sz w:val="32"/>
          <w:szCs w:val="32"/>
        </w:rPr>
      </w:pPr>
      <w:r>
        <w:rPr>
          <w:rFonts w:ascii="Times New Roman" w:hAnsi="Times New Roman" w:eastAsia="楷体_GB2312" w:cs="Times New Roman"/>
          <w:sz w:val="32"/>
          <w:szCs w:val="32"/>
        </w:rPr>
        <w:t>（一）高价值发明专利培育（创造、受让）：</w:t>
      </w:r>
      <w:r>
        <w:rPr>
          <w:rFonts w:ascii="Times New Roman" w:hAnsi="Times New Roman" w:eastAsia="仿宋_GB2312" w:cs="Times New Roman"/>
          <w:sz w:val="32"/>
          <w:szCs w:val="32"/>
        </w:rPr>
        <w:t>申报单位为区内</w:t>
      </w:r>
      <w:r>
        <w:rPr>
          <w:rFonts w:hint="eastAsia" w:ascii="Times New Roman" w:hAnsi="Times New Roman" w:eastAsia="仿宋_GB2312" w:cs="Times New Roman"/>
          <w:sz w:val="32"/>
          <w:szCs w:val="32"/>
        </w:rPr>
        <w:t>企业</w:t>
      </w:r>
      <w:r>
        <w:rPr>
          <w:rFonts w:ascii="Times New Roman" w:hAnsi="Times New Roman" w:eastAsia="仿宋_GB2312" w:cs="Times New Roman"/>
          <w:sz w:val="32"/>
          <w:szCs w:val="32"/>
        </w:rPr>
        <w:t>，每个</w:t>
      </w:r>
      <w:r>
        <w:rPr>
          <w:rFonts w:hint="eastAsia" w:ascii="Times New Roman" w:hAnsi="Times New Roman" w:eastAsia="仿宋_GB2312" w:cs="Times New Roman"/>
          <w:sz w:val="32"/>
          <w:szCs w:val="32"/>
          <w:lang w:eastAsia="zh-CN"/>
        </w:rPr>
        <w:t>专项计划承担</w:t>
      </w:r>
      <w:r>
        <w:rPr>
          <w:rFonts w:ascii="Times New Roman" w:hAnsi="Times New Roman" w:eastAsia="仿宋_GB2312" w:cs="Times New Roman"/>
          <w:sz w:val="32"/>
          <w:szCs w:val="32"/>
        </w:rPr>
        <w:t>单位给予10万元资金</w:t>
      </w:r>
      <w:r>
        <w:rPr>
          <w:rFonts w:hint="eastAsia" w:ascii="Times New Roman" w:hAnsi="Times New Roman" w:eastAsia="仿宋_GB2312" w:cs="Times New Roman"/>
          <w:sz w:val="32"/>
          <w:szCs w:val="32"/>
          <w:lang w:eastAsia="zh-CN"/>
        </w:rPr>
        <w:t>奖补，</w:t>
      </w:r>
      <w:r>
        <w:rPr>
          <w:rFonts w:hint="eastAsia" w:ascii="Times New Roman" w:hAnsi="Times New Roman" w:eastAsia="仿宋_GB2312" w:cs="Times New Roman"/>
          <w:sz w:val="32"/>
          <w:szCs w:val="32"/>
          <w:lang w:val="en-US" w:eastAsia="zh-CN"/>
        </w:rPr>
        <w:t>项目承担单位不超过8家</w:t>
      </w:r>
      <w:r>
        <w:rPr>
          <w:rFonts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eastAsia="仿宋_GB2312" w:cs="Times New Roman"/>
          <w:sz w:val="32"/>
          <w:szCs w:val="32"/>
        </w:rPr>
      </w:pPr>
      <w:r>
        <w:rPr>
          <w:rFonts w:ascii="Times New Roman" w:hAnsi="Times New Roman" w:eastAsia="楷体_GB2312" w:cs="Times New Roman"/>
          <w:sz w:val="32"/>
          <w:szCs w:val="32"/>
        </w:rPr>
        <w:t>（二）打造民办非盈利知识产权运营机构：</w:t>
      </w:r>
      <w:r>
        <w:rPr>
          <w:rFonts w:ascii="Times New Roman" w:hAnsi="Times New Roman" w:eastAsia="仿宋_GB2312" w:cs="Times New Roman"/>
          <w:sz w:val="32"/>
          <w:szCs w:val="32"/>
        </w:rPr>
        <w:t>申报单位为区内新成立的首家民办非盈利知识产权运营机构，给予试点单位20万元资金</w:t>
      </w:r>
      <w:r>
        <w:rPr>
          <w:rFonts w:hint="eastAsia" w:ascii="Times New Roman" w:hAnsi="Times New Roman" w:eastAsia="仿宋_GB2312" w:cs="Times New Roman"/>
          <w:sz w:val="32"/>
          <w:szCs w:val="32"/>
          <w:lang w:eastAsia="zh-CN"/>
        </w:rPr>
        <w:t>奖补</w:t>
      </w:r>
      <w:r>
        <w:rPr>
          <w:rFonts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eastAsia="黑体" w:cs="Times New Roman"/>
          <w:sz w:val="32"/>
          <w:szCs w:val="32"/>
        </w:rPr>
      </w:pPr>
      <w:r>
        <w:rPr>
          <w:rFonts w:ascii="Times New Roman" w:hAnsi="Times New Roman" w:eastAsia="黑体" w:cs="Times New Roman"/>
          <w:sz w:val="32"/>
          <w:szCs w:val="32"/>
        </w:rPr>
        <w:t>三、资金兑现</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eastAsia="楷体_GB2312" w:cs="Times New Roman"/>
          <w:sz w:val="32"/>
          <w:szCs w:val="32"/>
        </w:rPr>
      </w:pPr>
      <w:r>
        <w:rPr>
          <w:rFonts w:ascii="Times New Roman" w:hAnsi="Times New Roman" w:eastAsia="楷体_GB2312" w:cs="Times New Roman"/>
          <w:sz w:val="32"/>
          <w:szCs w:val="32"/>
        </w:rPr>
        <w:t>（一）资金拨付</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eastAsia="仿宋_GB2312" w:cs="Times New Roman"/>
          <w:sz w:val="32"/>
          <w:szCs w:val="32"/>
        </w:rPr>
      </w:pPr>
      <w:r>
        <w:rPr>
          <w:rFonts w:ascii="Times New Roman" w:hAnsi="Times New Roman" w:eastAsia="楷体_GB2312" w:cs="Times New Roman"/>
          <w:sz w:val="32"/>
          <w:szCs w:val="32"/>
        </w:rPr>
        <w:t>1.高价值发明专利培育（创造、受让）：</w:t>
      </w:r>
      <w:r>
        <w:rPr>
          <w:rFonts w:hint="eastAsia" w:ascii="Times New Roman" w:hAnsi="Times New Roman" w:eastAsia="仿宋_GB2312" w:cs="Times New Roman"/>
          <w:sz w:val="32"/>
          <w:szCs w:val="32"/>
          <w:lang w:val="en-US" w:eastAsia="zh-CN"/>
        </w:rPr>
        <w:t>专项计划</w:t>
      </w:r>
      <w:r>
        <w:rPr>
          <w:rFonts w:ascii="Times New Roman" w:hAnsi="Times New Roman" w:eastAsia="仿宋_GB2312" w:cs="Times New Roman"/>
          <w:sz w:val="32"/>
          <w:szCs w:val="32"/>
        </w:rPr>
        <w:t>申报单位</w:t>
      </w:r>
      <w:r>
        <w:rPr>
          <w:rFonts w:hint="eastAsia" w:ascii="Times New Roman" w:hAnsi="Times New Roman" w:eastAsia="仿宋_GB2312" w:cs="Times New Roman"/>
          <w:sz w:val="32"/>
          <w:szCs w:val="32"/>
          <w:lang w:val="en-US" w:eastAsia="zh-CN"/>
        </w:rPr>
        <w:t>奖补</w:t>
      </w:r>
      <w:r>
        <w:rPr>
          <w:rFonts w:ascii="Times New Roman" w:hAnsi="Times New Roman" w:eastAsia="仿宋_GB2312" w:cs="Times New Roman"/>
          <w:sz w:val="32"/>
          <w:szCs w:val="32"/>
        </w:rPr>
        <w:t>扶持资金为后拨付，</w:t>
      </w:r>
      <w:r>
        <w:rPr>
          <w:rFonts w:hint="eastAsia" w:ascii="Times New Roman" w:hAnsi="Times New Roman" w:eastAsia="仿宋_GB2312" w:cs="Times New Roman"/>
          <w:sz w:val="32"/>
          <w:szCs w:val="32"/>
          <w:lang w:val="en-US" w:eastAsia="zh-CN"/>
        </w:rPr>
        <w:t>承担单位</w:t>
      </w:r>
      <w:r>
        <w:rPr>
          <w:rFonts w:ascii="Times New Roman" w:hAnsi="Times New Roman" w:eastAsia="仿宋_GB2312" w:cs="Times New Roman"/>
          <w:sz w:val="32"/>
          <w:szCs w:val="32"/>
        </w:rPr>
        <w:t>签订项目实施承诺书</w:t>
      </w:r>
      <w:r>
        <w:rPr>
          <w:rFonts w:hint="eastAsia" w:ascii="Times New Roman" w:hAnsi="Times New Roman" w:eastAsia="仿宋_GB2312" w:cs="Times New Roman"/>
          <w:sz w:val="32"/>
          <w:szCs w:val="32"/>
          <w:lang w:val="en-US" w:eastAsia="zh-CN"/>
        </w:rPr>
        <w:t>后</w:t>
      </w:r>
      <w:r>
        <w:rPr>
          <w:rFonts w:ascii="Times New Roman" w:hAnsi="Times New Roman" w:eastAsia="仿宋_GB2312" w:cs="Times New Roman"/>
          <w:sz w:val="32"/>
          <w:szCs w:val="32"/>
        </w:rPr>
        <w:t>，专利权数量任务完成率达到80%（4件）或与高校签署产学研合作协议后</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予以全额拨付</w:t>
      </w:r>
      <w:r>
        <w:rPr>
          <w:rFonts w:hint="eastAsia" w:ascii="Times New Roman" w:hAnsi="Times New Roman" w:eastAsia="仿宋_GB2312" w:cs="Times New Roman"/>
          <w:sz w:val="32"/>
          <w:szCs w:val="32"/>
          <w:lang w:val="en-US" w:eastAsia="zh-CN"/>
        </w:rPr>
        <w:t>奖补</w:t>
      </w:r>
      <w:r>
        <w:rPr>
          <w:rFonts w:ascii="Times New Roman" w:hAnsi="Times New Roman" w:eastAsia="仿宋_GB2312" w:cs="Times New Roman"/>
          <w:sz w:val="32"/>
          <w:szCs w:val="32"/>
        </w:rPr>
        <w:t>扶持资金。</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hint="eastAsia" w:ascii="Times New Roman" w:hAnsi="Times New Roman" w:eastAsia="仿宋_GB2312" w:cs="Times New Roman"/>
          <w:sz w:val="32"/>
          <w:szCs w:val="32"/>
          <w:lang w:val="en-US" w:eastAsia="zh-CN"/>
        </w:rPr>
      </w:pPr>
      <w:r>
        <w:rPr>
          <w:rFonts w:ascii="Times New Roman" w:hAnsi="Times New Roman" w:eastAsia="楷体_GB2312" w:cs="Times New Roman"/>
          <w:sz w:val="32"/>
          <w:szCs w:val="32"/>
        </w:rPr>
        <w:t>2.打造民办非盈利知识产权运营机构：</w:t>
      </w:r>
      <w:r>
        <w:rPr>
          <w:rFonts w:hint="eastAsia" w:ascii="Times New Roman" w:hAnsi="Times New Roman" w:eastAsia="仿宋_GB2312" w:cs="Times New Roman"/>
          <w:sz w:val="32"/>
          <w:szCs w:val="32"/>
          <w:lang w:val="en-US" w:eastAsia="zh-CN"/>
        </w:rPr>
        <w:t>专项计划承担</w:t>
      </w:r>
      <w:r>
        <w:rPr>
          <w:rFonts w:ascii="Times New Roman" w:hAnsi="Times New Roman" w:eastAsia="仿宋_GB2312" w:cs="Times New Roman"/>
          <w:sz w:val="32"/>
          <w:szCs w:val="32"/>
        </w:rPr>
        <w:t>单位</w:t>
      </w:r>
      <w:r>
        <w:rPr>
          <w:rFonts w:hint="eastAsia" w:ascii="Times New Roman" w:hAnsi="Times New Roman" w:eastAsia="仿宋_GB2312" w:cs="Times New Roman"/>
          <w:sz w:val="32"/>
          <w:szCs w:val="32"/>
          <w:lang w:val="en-US" w:eastAsia="zh-CN"/>
        </w:rPr>
        <w:t>奖补</w:t>
      </w:r>
      <w:r>
        <w:rPr>
          <w:rFonts w:ascii="Times New Roman" w:hAnsi="Times New Roman" w:eastAsia="仿宋_GB2312" w:cs="Times New Roman"/>
          <w:sz w:val="32"/>
          <w:szCs w:val="32"/>
        </w:rPr>
        <w:t>扶持资金为预拨付，</w:t>
      </w:r>
      <w:r>
        <w:rPr>
          <w:rFonts w:hint="eastAsia" w:ascii="Times New Roman" w:hAnsi="Times New Roman" w:eastAsia="仿宋_GB2312" w:cs="Times New Roman"/>
          <w:sz w:val="32"/>
          <w:szCs w:val="32"/>
          <w:lang w:val="en-US" w:eastAsia="zh-CN"/>
        </w:rPr>
        <w:t>承担单位</w:t>
      </w:r>
      <w:r>
        <w:rPr>
          <w:rFonts w:ascii="Times New Roman" w:hAnsi="Times New Roman" w:eastAsia="仿宋_GB2312" w:cs="Times New Roman"/>
          <w:sz w:val="32"/>
          <w:szCs w:val="32"/>
        </w:rPr>
        <w:t>签订项目实施承诺书</w:t>
      </w:r>
      <w:r>
        <w:rPr>
          <w:rFonts w:hint="eastAsia" w:ascii="Times New Roman" w:hAnsi="Times New Roman" w:eastAsia="仿宋_GB2312" w:cs="Times New Roman"/>
          <w:sz w:val="32"/>
          <w:szCs w:val="32"/>
          <w:lang w:val="en-US" w:eastAsia="zh-CN"/>
        </w:rPr>
        <w:t>后</w:t>
      </w:r>
      <w:r>
        <w:rPr>
          <w:rFonts w:ascii="Times New Roman" w:hAnsi="Times New Roman" w:eastAsia="仿宋_GB2312" w:cs="Times New Roman"/>
          <w:sz w:val="32"/>
          <w:szCs w:val="32"/>
        </w:rPr>
        <w:t>，先行拨付</w:t>
      </w:r>
      <w:r>
        <w:rPr>
          <w:rFonts w:hint="eastAsia" w:ascii="Times New Roman" w:hAnsi="Times New Roman" w:eastAsia="仿宋_GB2312" w:cs="Times New Roman"/>
          <w:sz w:val="32"/>
          <w:szCs w:val="32"/>
          <w:lang w:val="en-US" w:eastAsia="zh-CN"/>
        </w:rPr>
        <w:t>奖补</w:t>
      </w:r>
      <w:r>
        <w:rPr>
          <w:rFonts w:ascii="Times New Roman" w:hAnsi="Times New Roman" w:eastAsia="仿宋_GB2312" w:cs="Times New Roman"/>
          <w:sz w:val="32"/>
          <w:szCs w:val="32"/>
        </w:rPr>
        <w:t>扶持资金。</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rPr>
          <w:rFonts w:ascii="Times New Roman" w:hAnsi="Times New Roman" w:eastAsia="仿宋_GB2312" w:cs="Times New Roman"/>
          <w:sz w:val="32"/>
          <w:szCs w:val="32"/>
        </w:rPr>
      </w:pPr>
      <w:r>
        <w:rPr>
          <w:rFonts w:ascii="Times New Roman" w:hAnsi="Times New Roman" w:eastAsia="楷体_GB2312" w:cs="Times New Roman"/>
          <w:sz w:val="32"/>
          <w:szCs w:val="32"/>
        </w:rPr>
        <w:t>（二）工作考核：</w:t>
      </w:r>
      <w:r>
        <w:rPr>
          <w:rFonts w:ascii="Times New Roman" w:hAnsi="Times New Roman" w:eastAsia="仿宋_GB2312" w:cs="Times New Roman"/>
          <w:sz w:val="32"/>
          <w:szCs w:val="32"/>
        </w:rPr>
        <w:t>申报</w:t>
      </w:r>
      <w:r>
        <w:rPr>
          <w:rFonts w:hint="eastAsia" w:ascii="Times New Roman" w:hAnsi="Times New Roman" w:eastAsia="仿宋_GB2312" w:cs="Times New Roman"/>
          <w:sz w:val="32"/>
          <w:szCs w:val="32"/>
          <w:lang w:val="en-US" w:eastAsia="zh-CN"/>
        </w:rPr>
        <w:t>专项计划</w:t>
      </w:r>
      <w:r>
        <w:rPr>
          <w:rFonts w:ascii="Times New Roman" w:hAnsi="Times New Roman" w:eastAsia="仿宋_GB2312" w:cs="Times New Roman"/>
          <w:sz w:val="32"/>
          <w:szCs w:val="32"/>
        </w:rPr>
        <w:t>的单位工作开展情况</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由区市场</w:t>
      </w:r>
      <w:r>
        <w:rPr>
          <w:rFonts w:hint="eastAsia" w:ascii="Times New Roman" w:hAnsi="Times New Roman" w:eastAsia="仿宋_GB2312" w:cs="Times New Roman"/>
          <w:sz w:val="32"/>
          <w:szCs w:val="32"/>
          <w:lang w:val="en-US" w:eastAsia="zh-CN"/>
        </w:rPr>
        <w:t>监督管理</w:t>
      </w:r>
      <w:r>
        <w:rPr>
          <w:rFonts w:ascii="Times New Roman" w:hAnsi="Times New Roman" w:eastAsia="仿宋_GB2312" w:cs="Times New Roman"/>
          <w:sz w:val="32"/>
          <w:szCs w:val="32"/>
        </w:rPr>
        <w:t>局组织相关人员进行绩效评价，未达到申报绩效目标的追回已拨付扶持资金。</w:t>
      </w:r>
    </w:p>
    <w:p>
      <w:pPr>
        <w:pStyle w:val="10"/>
        <w:keepNext w:val="0"/>
        <w:keepLines w:val="0"/>
        <w:pageBreakBefore w:val="0"/>
        <w:widowControl w:val="0"/>
        <w:kinsoku/>
        <w:wordWrap/>
        <w:overflowPunct/>
        <w:topLinePunct w:val="0"/>
        <w:autoSpaceDE/>
        <w:autoSpaceDN/>
        <w:bidi w:val="0"/>
        <w:adjustRightInd/>
        <w:snapToGrid/>
        <w:spacing w:after="0" w:line="570" w:lineRule="exact"/>
        <w:ind w:left="0" w:leftChars="0" w:firstLine="640"/>
        <w:textAlignment w:val="auto"/>
        <w:rPr>
          <w:rFonts w:ascii="Times New Roman" w:hAnsi="Times New Roman" w:eastAsia="仿宋_GB2312" w:cs="Times New Roman"/>
        </w:rPr>
      </w:pPr>
      <w:r>
        <w:rPr>
          <w:rFonts w:ascii="Times New Roman" w:hAnsi="Times New Roman" w:eastAsia="楷体_GB2312" w:cs="Times New Roman"/>
          <w:sz w:val="32"/>
          <w:szCs w:val="32"/>
        </w:rPr>
        <w:t>（三）规范使用：</w:t>
      </w:r>
      <w:r>
        <w:rPr>
          <w:rFonts w:ascii="Times New Roman" w:hAnsi="Times New Roman" w:eastAsia="仿宋_GB2312" w:cs="Times New Roman"/>
          <w:sz w:val="32"/>
          <w:szCs w:val="32"/>
        </w:rPr>
        <w:t>申报</w:t>
      </w:r>
      <w:r>
        <w:rPr>
          <w:rFonts w:hint="eastAsia" w:ascii="Times New Roman" w:hAnsi="Times New Roman" w:eastAsia="仿宋_GB2312" w:cs="Times New Roman"/>
          <w:sz w:val="32"/>
          <w:szCs w:val="32"/>
          <w:lang w:val="en-US" w:eastAsia="zh-CN"/>
        </w:rPr>
        <w:t>专项计划</w:t>
      </w:r>
      <w:r>
        <w:rPr>
          <w:rFonts w:ascii="Times New Roman" w:hAnsi="Times New Roman" w:eastAsia="仿宋_GB2312" w:cs="Times New Roman"/>
          <w:sz w:val="32"/>
          <w:szCs w:val="32"/>
        </w:rPr>
        <w:t>的单位在绩效目标任务完成后，</w:t>
      </w:r>
      <w:r>
        <w:rPr>
          <w:rFonts w:hint="eastAsia" w:ascii="Times New Roman" w:hAnsi="Times New Roman" w:eastAsia="仿宋_GB2312" w:cs="Times New Roman"/>
          <w:sz w:val="32"/>
          <w:szCs w:val="32"/>
          <w:lang w:val="en-US" w:eastAsia="zh-CN"/>
        </w:rPr>
        <w:t>应</w:t>
      </w:r>
      <w:r>
        <w:rPr>
          <w:rFonts w:ascii="Times New Roman" w:hAnsi="Times New Roman" w:eastAsia="仿宋_GB2312" w:cs="Times New Roman"/>
          <w:sz w:val="32"/>
          <w:szCs w:val="32"/>
        </w:rPr>
        <w:t>第一时间委托具有国家资质的会计师事务所对试点资金使用情况进行审计，审计报告中应体现绩效目标完成</w:t>
      </w:r>
      <w:r>
        <w:rPr>
          <w:rFonts w:hint="eastAsia" w:ascii="Times New Roman" w:hAnsi="Times New Roman" w:eastAsia="仿宋_GB2312" w:cs="Times New Roman"/>
          <w:sz w:val="32"/>
          <w:szCs w:val="32"/>
          <w:lang w:eastAsia="zh-CN"/>
        </w:rPr>
        <w:t>情况</w:t>
      </w:r>
      <w:r>
        <w:rPr>
          <w:rFonts w:ascii="Times New Roman" w:hAnsi="Times New Roman" w:eastAsia="仿宋_GB2312" w:cs="Times New Roman"/>
          <w:sz w:val="32"/>
          <w:szCs w:val="32"/>
        </w:rPr>
        <w:t>并明确资金使用是否规范。</w:t>
      </w:r>
    </w:p>
    <w:p>
      <w:pPr>
        <w:keepNext w:val="0"/>
        <w:keepLines w:val="0"/>
        <w:pageBreakBefore w:val="0"/>
        <w:widowControl w:val="0"/>
        <w:kinsoku/>
        <w:wordWrap/>
        <w:overflowPunct/>
        <w:topLinePunct w:val="0"/>
        <w:autoSpaceDE/>
        <w:autoSpaceDN/>
        <w:bidi w:val="0"/>
        <w:adjustRightInd/>
        <w:snapToGrid/>
        <w:spacing w:line="570" w:lineRule="exact"/>
        <w:ind w:firstLine="645"/>
        <w:textAlignment w:val="auto"/>
      </w:pPr>
      <w:r>
        <w:rPr>
          <w:rFonts w:ascii="Times New Roman" w:hAnsi="Times New Roman" w:eastAsia="楷体_GB2312" w:cs="Times New Roman"/>
          <w:sz w:val="32"/>
          <w:szCs w:val="32"/>
        </w:rPr>
        <w:t>（四）责任追究：</w:t>
      </w:r>
      <w:r>
        <w:rPr>
          <w:rFonts w:ascii="Times New Roman" w:hAnsi="Times New Roman" w:eastAsia="仿宋_GB2312" w:cs="Times New Roman"/>
          <w:sz w:val="32"/>
          <w:szCs w:val="32"/>
        </w:rPr>
        <w:t>申报</w:t>
      </w:r>
      <w:r>
        <w:rPr>
          <w:rFonts w:hint="eastAsia" w:ascii="Times New Roman" w:hAnsi="Times New Roman" w:eastAsia="仿宋_GB2312" w:cs="Times New Roman"/>
          <w:sz w:val="32"/>
          <w:szCs w:val="32"/>
          <w:lang w:val="en-US" w:eastAsia="zh-CN"/>
        </w:rPr>
        <w:t>专项计划奖补</w:t>
      </w:r>
      <w:r>
        <w:rPr>
          <w:rFonts w:ascii="Times New Roman" w:hAnsi="Times New Roman" w:eastAsia="仿宋_GB2312" w:cs="Times New Roman"/>
          <w:sz w:val="32"/>
          <w:szCs w:val="32"/>
        </w:rPr>
        <w:t>扶持资金的单位需如实报送各项资料，配合绩效评价，如有弄虚作假，按照套取、冒领国家财政扶持资金依法依规追究相关责任。</w:t>
      </w:r>
    </w:p>
    <w:sectPr>
      <w:footerReference r:id="rId3" w:type="default"/>
      <w:footerReference r:id="rId4" w:type="even"/>
      <w:pgSz w:w="11906" w:h="16838"/>
      <w:pgMar w:top="2098" w:right="1474" w:bottom="1985" w:left="1588" w:header="851" w:footer="992" w:gutter="0"/>
      <w:pgNumType w:fmt="numberInDash"/>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4847684"/>
    </w:sdtPr>
    <w:sdtEndPr>
      <w:rPr>
        <w:rFonts w:ascii="宋体" w:hAnsi="宋体" w:eastAsia="宋体"/>
        <w:sz w:val="28"/>
        <w:szCs w:val="28"/>
      </w:rPr>
    </w:sdtEndPr>
    <w:sdtContent>
      <w:p>
        <w:pPr>
          <w:pStyle w:val="7"/>
          <w:jc w:val="right"/>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17 -</w:t>
        </w:r>
        <w:r>
          <w:rPr>
            <w:rFonts w:ascii="宋体" w:hAnsi="宋体" w:eastAsia="宋体"/>
            <w:sz w:val="28"/>
            <w:szCs w:val="28"/>
          </w:rPr>
          <w:fldChar w:fldCharType="end"/>
        </w:r>
      </w:p>
    </w:sdtContent>
  </w:sdt>
  <w:p>
    <w:pPr>
      <w:pStyle w:val="7"/>
      <w:rPr>
        <w:rFonts w:ascii="宋体" w:hAnsi="宋体" w:eastAsia="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宋体" w:hAnsi="宋体" w:eastAsia="宋体"/>
        <w:sz w:val="28"/>
        <w:szCs w:val="28"/>
      </w:rPr>
      <w:id w:val="7868987"/>
    </w:sdtPr>
    <w:sdtEndPr>
      <w:rPr>
        <w:rFonts w:ascii="宋体" w:hAnsi="宋体" w:eastAsia="宋体"/>
        <w:sz w:val="28"/>
        <w:szCs w:val="28"/>
      </w:rPr>
    </w:sdtEndPr>
    <w:sdtContent>
      <w:p>
        <w:pPr>
          <w:pStyle w:val="7"/>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16 -</w:t>
        </w:r>
        <w:r>
          <w:rPr>
            <w:rFonts w:ascii="宋体" w:hAnsi="宋体" w:eastAsia="宋体"/>
            <w:sz w:val="28"/>
            <w:szCs w:val="28"/>
          </w:rPr>
          <w:fldChar w:fldCharType="end"/>
        </w:r>
      </w:p>
    </w:sdtContent>
  </w:sdt>
  <w:p>
    <w:pPr>
      <w:pStyle w:val="7"/>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evenAndOddHeaders w:val="1"/>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FlMjdiNzg1MDZiODY3MzhhNGEwMmM4YmI5NDcwNjgifQ=="/>
  </w:docVars>
  <w:rsids>
    <w:rsidRoot w:val="00963E91"/>
    <w:rsid w:val="000206FC"/>
    <w:rsid w:val="00130E34"/>
    <w:rsid w:val="00152D52"/>
    <w:rsid w:val="0015670A"/>
    <w:rsid w:val="001C504A"/>
    <w:rsid w:val="001E0BB4"/>
    <w:rsid w:val="001F47D9"/>
    <w:rsid w:val="00250E90"/>
    <w:rsid w:val="0027080B"/>
    <w:rsid w:val="00310C28"/>
    <w:rsid w:val="00321101"/>
    <w:rsid w:val="00323C9A"/>
    <w:rsid w:val="0033080C"/>
    <w:rsid w:val="00330D90"/>
    <w:rsid w:val="003E0082"/>
    <w:rsid w:val="003F4471"/>
    <w:rsid w:val="00416C89"/>
    <w:rsid w:val="00420E1C"/>
    <w:rsid w:val="004303FD"/>
    <w:rsid w:val="004425B4"/>
    <w:rsid w:val="004F03FB"/>
    <w:rsid w:val="004F0F3C"/>
    <w:rsid w:val="00507C51"/>
    <w:rsid w:val="00546360"/>
    <w:rsid w:val="005473B2"/>
    <w:rsid w:val="005E17A9"/>
    <w:rsid w:val="005E4960"/>
    <w:rsid w:val="005F4DA7"/>
    <w:rsid w:val="00664D8A"/>
    <w:rsid w:val="00673A41"/>
    <w:rsid w:val="00675FD1"/>
    <w:rsid w:val="006E69BB"/>
    <w:rsid w:val="00717203"/>
    <w:rsid w:val="007252BA"/>
    <w:rsid w:val="00783D30"/>
    <w:rsid w:val="007C1DDD"/>
    <w:rsid w:val="007C702F"/>
    <w:rsid w:val="007E40B0"/>
    <w:rsid w:val="007F7C34"/>
    <w:rsid w:val="00822D1E"/>
    <w:rsid w:val="008565EB"/>
    <w:rsid w:val="00886CD3"/>
    <w:rsid w:val="008F685E"/>
    <w:rsid w:val="00920835"/>
    <w:rsid w:val="00940C8B"/>
    <w:rsid w:val="00953AE4"/>
    <w:rsid w:val="00963E91"/>
    <w:rsid w:val="00981D6C"/>
    <w:rsid w:val="00983371"/>
    <w:rsid w:val="009950A5"/>
    <w:rsid w:val="00A02BA4"/>
    <w:rsid w:val="00A14224"/>
    <w:rsid w:val="00A15953"/>
    <w:rsid w:val="00A46F0D"/>
    <w:rsid w:val="00A92F07"/>
    <w:rsid w:val="00AB7131"/>
    <w:rsid w:val="00B05524"/>
    <w:rsid w:val="00B2615E"/>
    <w:rsid w:val="00B4447D"/>
    <w:rsid w:val="00BB432F"/>
    <w:rsid w:val="00BC1B80"/>
    <w:rsid w:val="00C66D32"/>
    <w:rsid w:val="00C941D3"/>
    <w:rsid w:val="00CE5F4F"/>
    <w:rsid w:val="00D0779C"/>
    <w:rsid w:val="00D366EC"/>
    <w:rsid w:val="00DC13BF"/>
    <w:rsid w:val="00DE4FDC"/>
    <w:rsid w:val="00E035B0"/>
    <w:rsid w:val="00E11E2E"/>
    <w:rsid w:val="00E678F4"/>
    <w:rsid w:val="00EF2289"/>
    <w:rsid w:val="00F10C5E"/>
    <w:rsid w:val="00F92B70"/>
    <w:rsid w:val="00FF5A3F"/>
    <w:rsid w:val="041B198A"/>
    <w:rsid w:val="05052822"/>
    <w:rsid w:val="063A3FA7"/>
    <w:rsid w:val="06F15928"/>
    <w:rsid w:val="08A72892"/>
    <w:rsid w:val="0A373D8A"/>
    <w:rsid w:val="0A4C7914"/>
    <w:rsid w:val="0A794B51"/>
    <w:rsid w:val="0D672D6B"/>
    <w:rsid w:val="0E4212EC"/>
    <w:rsid w:val="114E2316"/>
    <w:rsid w:val="12C34799"/>
    <w:rsid w:val="130D0CAF"/>
    <w:rsid w:val="141B07A0"/>
    <w:rsid w:val="14624025"/>
    <w:rsid w:val="146F1C04"/>
    <w:rsid w:val="146F5911"/>
    <w:rsid w:val="15743686"/>
    <w:rsid w:val="162C1DB5"/>
    <w:rsid w:val="16A947F0"/>
    <w:rsid w:val="194477AF"/>
    <w:rsid w:val="1D0A6375"/>
    <w:rsid w:val="1EE07ADE"/>
    <w:rsid w:val="20E63CDF"/>
    <w:rsid w:val="226A5C9D"/>
    <w:rsid w:val="247B25F8"/>
    <w:rsid w:val="25DB508A"/>
    <w:rsid w:val="267E061F"/>
    <w:rsid w:val="27494C96"/>
    <w:rsid w:val="276814C7"/>
    <w:rsid w:val="29D03914"/>
    <w:rsid w:val="2DDA099F"/>
    <w:rsid w:val="2EB20408"/>
    <w:rsid w:val="2ECD55DE"/>
    <w:rsid w:val="2ED02D6D"/>
    <w:rsid w:val="32122457"/>
    <w:rsid w:val="322D35F2"/>
    <w:rsid w:val="326160DA"/>
    <w:rsid w:val="33A85332"/>
    <w:rsid w:val="35CB2C40"/>
    <w:rsid w:val="36252EF1"/>
    <w:rsid w:val="3A992D9F"/>
    <w:rsid w:val="3AD61FCA"/>
    <w:rsid w:val="3CE72D17"/>
    <w:rsid w:val="3DA73F3B"/>
    <w:rsid w:val="3E2241BA"/>
    <w:rsid w:val="41E77369"/>
    <w:rsid w:val="442871AC"/>
    <w:rsid w:val="447F4500"/>
    <w:rsid w:val="45D66399"/>
    <w:rsid w:val="46A41C10"/>
    <w:rsid w:val="4A5E1B6D"/>
    <w:rsid w:val="4C75149C"/>
    <w:rsid w:val="4E6F32E9"/>
    <w:rsid w:val="4EFE0E04"/>
    <w:rsid w:val="51B11E13"/>
    <w:rsid w:val="524D7600"/>
    <w:rsid w:val="54A80C5E"/>
    <w:rsid w:val="56007234"/>
    <w:rsid w:val="58BB0902"/>
    <w:rsid w:val="59992F1A"/>
    <w:rsid w:val="5AF727FF"/>
    <w:rsid w:val="5F7558A0"/>
    <w:rsid w:val="5F9820F8"/>
    <w:rsid w:val="62E2087A"/>
    <w:rsid w:val="65F61D0F"/>
    <w:rsid w:val="6703217D"/>
    <w:rsid w:val="694D233E"/>
    <w:rsid w:val="6A7E5926"/>
    <w:rsid w:val="6AE971D9"/>
    <w:rsid w:val="6BB43090"/>
    <w:rsid w:val="6DA46031"/>
    <w:rsid w:val="71DD0AEE"/>
    <w:rsid w:val="74863654"/>
    <w:rsid w:val="75AE167A"/>
    <w:rsid w:val="76C40626"/>
    <w:rsid w:val="78F2233A"/>
    <w:rsid w:val="798A213C"/>
    <w:rsid w:val="7B02692A"/>
    <w:rsid w:val="7C4E5F1F"/>
    <w:rsid w:val="7D2C6F0C"/>
    <w:rsid w:val="7EA459AB"/>
    <w:rsid w:val="7EC33D2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b/>
      <w:kern w:val="0"/>
      <w:sz w:val="36"/>
      <w:szCs w:val="36"/>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Body Text Indent"/>
    <w:basedOn w:val="1"/>
    <w:next w:val="3"/>
    <w:unhideWhenUsed/>
    <w:qFormat/>
    <w:uiPriority w:val="99"/>
    <w:pPr>
      <w:spacing w:after="120"/>
      <w:ind w:left="420" w:leftChars="200"/>
    </w:pPr>
  </w:style>
  <w:style w:type="paragraph" w:styleId="5">
    <w:name w:val="Date"/>
    <w:basedOn w:val="1"/>
    <w:next w:val="1"/>
    <w:link w:val="18"/>
    <w:semiHidden/>
    <w:unhideWhenUsed/>
    <w:qFormat/>
    <w:uiPriority w:val="99"/>
    <w:pPr>
      <w:ind w:left="100" w:leftChars="2500"/>
    </w:pPr>
  </w:style>
  <w:style w:type="paragraph" w:styleId="6">
    <w:name w:val="Balloon Text"/>
    <w:basedOn w:val="1"/>
    <w:link w:val="19"/>
    <w:semiHidden/>
    <w:unhideWhenUsed/>
    <w:qFormat/>
    <w:uiPriority w:val="99"/>
    <w:rPr>
      <w:sz w:val="18"/>
      <w:szCs w:val="18"/>
    </w:rPr>
  </w:style>
  <w:style w:type="paragraph" w:styleId="7">
    <w:name w:val="footer"/>
    <w:basedOn w:val="1"/>
    <w:link w:val="17"/>
    <w:unhideWhenUsed/>
    <w:qFormat/>
    <w:uiPriority w:val="99"/>
    <w:pPr>
      <w:tabs>
        <w:tab w:val="center" w:pos="4153"/>
        <w:tab w:val="right" w:pos="8306"/>
      </w:tabs>
      <w:snapToGrid w:val="0"/>
      <w:jc w:val="left"/>
    </w:pPr>
    <w:rPr>
      <w:sz w:val="18"/>
      <w:szCs w:val="18"/>
    </w:rPr>
  </w:style>
  <w:style w:type="paragraph" w:styleId="8">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unhideWhenUsed/>
    <w:qFormat/>
    <w:uiPriority w:val="99"/>
    <w:pPr>
      <w:spacing w:beforeAutospacing="1" w:afterAutospacing="1"/>
      <w:jc w:val="left"/>
    </w:pPr>
    <w:rPr>
      <w:rFonts w:cs="Times New Roman"/>
      <w:kern w:val="0"/>
      <w:sz w:val="24"/>
    </w:rPr>
  </w:style>
  <w:style w:type="paragraph" w:styleId="10">
    <w:name w:val="Body Text First Indent 2"/>
    <w:basedOn w:val="4"/>
    <w:qFormat/>
    <w:uiPriority w:val="0"/>
    <w:pPr>
      <w:ind w:firstLine="420" w:firstLineChars="200"/>
    </w:pPr>
  </w:style>
  <w:style w:type="table" w:styleId="12">
    <w:name w:val="Table Grid"/>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Strong"/>
    <w:basedOn w:val="13"/>
    <w:qFormat/>
    <w:uiPriority w:val="22"/>
    <w:rPr>
      <w:b/>
    </w:rPr>
  </w:style>
  <w:style w:type="paragraph" w:styleId="15">
    <w:name w:val="List Paragraph"/>
    <w:basedOn w:val="1"/>
    <w:qFormat/>
    <w:uiPriority w:val="34"/>
    <w:pPr>
      <w:ind w:firstLine="420" w:firstLineChars="200"/>
    </w:pPr>
  </w:style>
  <w:style w:type="character" w:customStyle="1" w:styleId="16">
    <w:name w:val="页眉 Char"/>
    <w:basedOn w:val="13"/>
    <w:link w:val="8"/>
    <w:qFormat/>
    <w:uiPriority w:val="99"/>
    <w:rPr>
      <w:sz w:val="18"/>
      <w:szCs w:val="18"/>
    </w:rPr>
  </w:style>
  <w:style w:type="character" w:customStyle="1" w:styleId="17">
    <w:name w:val="页脚 Char"/>
    <w:basedOn w:val="13"/>
    <w:link w:val="7"/>
    <w:qFormat/>
    <w:uiPriority w:val="99"/>
    <w:rPr>
      <w:sz w:val="18"/>
      <w:szCs w:val="18"/>
    </w:rPr>
  </w:style>
  <w:style w:type="character" w:customStyle="1" w:styleId="18">
    <w:name w:val="日期 Char"/>
    <w:basedOn w:val="13"/>
    <w:link w:val="5"/>
    <w:semiHidden/>
    <w:qFormat/>
    <w:uiPriority w:val="99"/>
    <w:rPr>
      <w:kern w:val="2"/>
      <w:sz w:val="21"/>
      <w:szCs w:val="22"/>
    </w:rPr>
  </w:style>
  <w:style w:type="character" w:customStyle="1" w:styleId="19">
    <w:name w:val="批注框文本 Char"/>
    <w:basedOn w:val="13"/>
    <w:link w:val="6"/>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14</Pages>
  <Words>3327</Words>
  <Characters>3398</Characters>
  <Lines>39</Lines>
  <Paragraphs>11</Paragraphs>
  <TotalTime>2</TotalTime>
  <ScaleCrop>false</ScaleCrop>
  <LinksUpToDate>false</LinksUpToDate>
  <CharactersWithSpaces>4307</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2021-08-09T01:55:00Z</dcterms:created>
  <dc:creator>wung bern</dc:creator>
  <cp:lastModifiedBy>璐璐</cp:lastModifiedBy>
  <cp:lastPrinted>2022-07-11T07:47:00Z</cp:lastPrinted>
  <dcterms:modified xsi:type="dcterms:W3CDTF">2022-07-11T08:23:49Z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D1730347B92242B5A30DD968BFCC7F8C</vt:lpwstr>
  </property>
  <property fmtid="{D5CDD505-2E9C-101B-9397-08002B2CF9AE}" pid="4" name="commondata">
    <vt:lpwstr>eyJoZGlkIjoiZTlhNjY5NzlhZWM0NmI4MWMxNGNiNDVlODc2YTZlMjAifQ==</vt:lpwstr>
  </property>
</Properties>
</file>