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74451">
      <w:pPr>
        <w:pStyle w:val="8"/>
        <w:widowControl/>
        <w:spacing w:before="0" w:beforeAutospacing="0" w:after="0" w:afterAutospacing="0"/>
        <w:jc w:val="center"/>
        <w:rPr>
          <w:rFonts w:ascii="黑体" w:hAnsi="黑体" w:eastAsia="黑体"/>
          <w:sz w:val="44"/>
          <w:szCs w:val="44"/>
        </w:rPr>
      </w:pPr>
      <w:r>
        <w:rPr>
          <w:rFonts w:ascii="黑体" w:hAnsi="黑体" w:eastAsia="黑体"/>
          <w:sz w:val="44"/>
          <w:szCs w:val="44"/>
        </w:rPr>
        <w:t>企业合规经营政策指导建议书</w:t>
      </w:r>
    </w:p>
    <w:p w14:paraId="24CE6F98">
      <w:pPr>
        <w:pStyle w:val="8"/>
        <w:widowControl/>
        <w:spacing w:before="0" w:beforeAutospacing="0" w:after="0" w:afterAutospacing="0"/>
        <w:jc w:val="center"/>
        <w:rPr>
          <w:rFonts w:ascii="Times New Roman" w:hAnsi="Times New Roman" w:eastAsia="方正小标宋简体"/>
          <w:sz w:val="44"/>
          <w:szCs w:val="44"/>
        </w:rPr>
      </w:pP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9"/>
        <w:gridCol w:w="5721"/>
      </w:tblGrid>
      <w:tr w14:paraId="2D26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10ACE3D">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执法事项名称</w:t>
            </w:r>
          </w:p>
        </w:tc>
        <w:tc>
          <w:tcPr>
            <w:tcW w:w="5721" w:type="dxa"/>
            <w:vAlign w:val="center"/>
          </w:tcPr>
          <w:p w14:paraId="7CAE9029">
            <w:pPr>
              <w:jc w:val="left"/>
              <w:rPr>
                <w:rFonts w:ascii="仿宋_GB2312" w:hAnsi="仿宋_GB2312" w:eastAsia="仿宋_GB2312" w:cs="仿宋_GB2312"/>
                <w:sz w:val="24"/>
                <w:szCs w:val="24"/>
              </w:rPr>
            </w:pPr>
            <w:r>
              <w:rPr>
                <w:rFonts w:hint="eastAsia" w:ascii="仿宋_GB2312" w:hAnsi="宋体" w:eastAsia="仿宋_GB2312" w:cs="宋体"/>
                <w:color w:val="333333"/>
                <w:kern w:val="0"/>
                <w:sz w:val="24"/>
                <w:szCs w:val="24"/>
              </w:rPr>
              <w:t>未及时</w:t>
            </w:r>
            <w:r>
              <w:rPr>
                <w:rFonts w:hint="eastAsia" w:ascii="仿宋_GB2312" w:hAnsi="仿宋" w:eastAsia="仿宋_GB2312"/>
                <w:color w:val="333333"/>
                <w:sz w:val="24"/>
                <w:szCs w:val="24"/>
                <w:shd w:val="clear" w:color="auto" w:fill="FFFFFF"/>
              </w:rPr>
              <w:t>整理违规停放的车辆</w:t>
            </w:r>
            <w:r>
              <w:rPr>
                <w:rFonts w:hint="eastAsia" w:ascii="仿宋_GB2312" w:hAnsi="仿宋_GB2312" w:eastAsia="仿宋_GB2312" w:cs="仿宋_GB2312"/>
                <w:sz w:val="24"/>
                <w:szCs w:val="24"/>
              </w:rPr>
              <w:t>的处罚</w:t>
            </w:r>
          </w:p>
        </w:tc>
      </w:tr>
      <w:tr w14:paraId="1AD3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C142300">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违法风险点</w:t>
            </w:r>
          </w:p>
        </w:tc>
        <w:tc>
          <w:tcPr>
            <w:tcW w:w="5721" w:type="dxa"/>
            <w:vAlign w:val="center"/>
          </w:tcPr>
          <w:p w14:paraId="1CAD7A61">
            <w:pPr>
              <w:jc w:val="left"/>
              <w:rPr>
                <w:rFonts w:ascii="仿宋_GB2312" w:hAnsi="仿宋_GB2312" w:eastAsia="仿宋_GB2312" w:cs="仿宋_GB2312"/>
                <w:sz w:val="24"/>
                <w:szCs w:val="24"/>
              </w:rPr>
            </w:pPr>
            <w:bookmarkStart w:id="0" w:name="OLE_LINK53"/>
            <w:bookmarkStart w:id="1" w:name="OLE_LINK54"/>
            <w:r>
              <w:rPr>
                <w:rFonts w:hint="eastAsia" w:ascii="仿宋_GB2312" w:hAnsi="宋体" w:eastAsia="仿宋_GB2312" w:cs="宋体"/>
                <w:color w:val="333333"/>
                <w:kern w:val="0"/>
                <w:sz w:val="24"/>
                <w:szCs w:val="24"/>
              </w:rPr>
              <w:t>未及时</w:t>
            </w:r>
            <w:r>
              <w:rPr>
                <w:rFonts w:hint="eastAsia" w:ascii="仿宋_GB2312" w:hAnsi="仿宋" w:eastAsia="仿宋_GB2312"/>
                <w:color w:val="333333"/>
                <w:sz w:val="24"/>
                <w:szCs w:val="24"/>
                <w:shd w:val="clear" w:color="auto" w:fill="FFFFFF"/>
              </w:rPr>
              <w:t>整理违规停放的车辆</w:t>
            </w:r>
            <w:bookmarkEnd w:id="0"/>
            <w:bookmarkEnd w:id="1"/>
            <w:r>
              <w:rPr>
                <w:rFonts w:hint="eastAsia" w:ascii="仿宋_GB2312" w:hAnsi="仿宋_GB2312" w:eastAsia="仿宋_GB2312" w:cs="仿宋_GB2312"/>
                <w:sz w:val="24"/>
                <w:szCs w:val="24"/>
              </w:rPr>
              <w:t>的行为违反了</w:t>
            </w:r>
            <w:r>
              <w:rPr>
                <w:rFonts w:hint="eastAsia" w:ascii="仿宋_GB2312" w:hAnsi="仿宋" w:eastAsia="仿宋_GB2312" w:cs="仿宋"/>
                <w:sz w:val="24"/>
                <w:szCs w:val="24"/>
              </w:rPr>
              <w:t>《威海市停车管理和服务条例》</w:t>
            </w:r>
            <w:r>
              <w:rPr>
                <w:rFonts w:hint="eastAsia" w:ascii="仿宋_GB2312" w:hAnsi="仿宋_GB2312" w:eastAsia="仿宋_GB2312" w:cs="仿宋_GB2312"/>
                <w:sz w:val="24"/>
                <w:szCs w:val="24"/>
              </w:rPr>
              <w:t>的规定，</w:t>
            </w:r>
            <w:r>
              <w:rPr>
                <w:rFonts w:hint="eastAsia" w:ascii="仿宋_GB2312" w:hAnsi="仿宋" w:eastAsia="仿宋_GB2312"/>
                <w:color w:val="333333"/>
                <w:sz w:val="24"/>
                <w:szCs w:val="24"/>
                <w:shd w:val="clear" w:color="auto" w:fill="FFFFFF"/>
              </w:rPr>
              <w:t>城市管理主管部门按照职责</w:t>
            </w:r>
            <w:r>
              <w:rPr>
                <w:rFonts w:hint="eastAsia" w:ascii="仿宋_GB2312" w:hAnsi="仿宋_GB2312" w:eastAsia="仿宋_GB2312" w:cs="仿宋_GB2312"/>
                <w:sz w:val="24"/>
                <w:szCs w:val="24"/>
              </w:rPr>
              <w:t>可责令改正或进行处罚。</w:t>
            </w:r>
          </w:p>
        </w:tc>
      </w:tr>
      <w:tr w14:paraId="008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3259" w:type="dxa"/>
            <w:vAlign w:val="center"/>
          </w:tcPr>
          <w:p w14:paraId="0D708AEF">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常见违法行为表现</w:t>
            </w:r>
          </w:p>
        </w:tc>
        <w:tc>
          <w:tcPr>
            <w:tcW w:w="5721" w:type="dxa"/>
            <w:vAlign w:val="center"/>
          </w:tcPr>
          <w:p w14:paraId="21F6D06E">
            <w:pPr>
              <w:jc w:val="left"/>
              <w:rPr>
                <w:rFonts w:ascii="仿宋_GB2312" w:hAnsi="仿宋_GB2312" w:eastAsia="仿宋_GB2312" w:cs="仿宋_GB2312"/>
                <w:sz w:val="24"/>
                <w:szCs w:val="24"/>
              </w:rPr>
            </w:pPr>
            <w:r>
              <w:rPr>
                <w:rFonts w:hint="eastAsia" w:ascii="仿宋_GB2312" w:hAnsi="宋体" w:eastAsia="仿宋_GB2312" w:cs="宋体"/>
                <w:color w:val="333333"/>
                <w:kern w:val="0"/>
                <w:sz w:val="24"/>
                <w:szCs w:val="24"/>
              </w:rPr>
              <w:t>未及时</w:t>
            </w:r>
            <w:r>
              <w:rPr>
                <w:rFonts w:hint="eastAsia" w:ascii="仿宋_GB2312" w:hAnsi="仿宋" w:eastAsia="仿宋_GB2312"/>
                <w:color w:val="333333"/>
                <w:sz w:val="24"/>
                <w:szCs w:val="24"/>
                <w:shd w:val="clear" w:color="auto" w:fill="FFFFFF"/>
              </w:rPr>
              <w:t>整理违规停放的车辆</w:t>
            </w:r>
          </w:p>
        </w:tc>
      </w:tr>
      <w:tr w14:paraId="39C6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1682220">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法律法规依据</w:t>
            </w:r>
          </w:p>
        </w:tc>
        <w:tc>
          <w:tcPr>
            <w:tcW w:w="5721" w:type="dxa"/>
            <w:vAlign w:val="center"/>
          </w:tcPr>
          <w:p w14:paraId="45D5617C">
            <w:pPr>
              <w:jc w:val="left"/>
              <w:rPr>
                <w:rFonts w:ascii="仿宋_GB2312" w:hAnsi="仿宋_GB2312" w:eastAsia="仿宋_GB2312" w:cs="仿宋_GB2312"/>
                <w:sz w:val="24"/>
                <w:szCs w:val="24"/>
                <w:lang w:val="en"/>
              </w:rPr>
            </w:pPr>
            <w:bookmarkStart w:id="2" w:name="OLE_LINK9"/>
            <w:bookmarkStart w:id="3" w:name="OLE_LINK18"/>
            <w:bookmarkStart w:id="4" w:name="OLE_LINK15"/>
            <w:r>
              <w:rPr>
                <w:rFonts w:hint="eastAsia" w:ascii="仿宋_GB2312" w:hAnsi="仿宋" w:eastAsia="仿宋_GB2312" w:cs="仿宋"/>
                <w:sz w:val="24"/>
                <w:szCs w:val="24"/>
              </w:rPr>
              <w:t>《威海市停车管理和服务条例》第三十三条第三款</w:t>
            </w:r>
            <w:bookmarkEnd w:id="2"/>
            <w:r>
              <w:rPr>
                <w:rFonts w:hint="eastAsia" w:ascii="仿宋_GB2312" w:hAnsi="仿宋" w:eastAsia="仿宋_GB2312" w:cs="仿宋"/>
                <w:sz w:val="24"/>
                <w:szCs w:val="24"/>
              </w:rPr>
              <w:t>“</w:t>
            </w:r>
            <w:r>
              <w:rPr>
                <w:rFonts w:hint="eastAsia" w:ascii="仿宋_GB2312" w:hAnsi="仿宋" w:eastAsia="仿宋_GB2312"/>
                <w:color w:val="333333"/>
                <w:sz w:val="24"/>
                <w:szCs w:val="24"/>
                <w:shd w:val="clear" w:color="auto" w:fill="FFFFFF"/>
              </w:rPr>
              <w:t>互联网租赁非机动车经营企业应当在区（县级市）人民政府划定的互联网租赁非机动车停放点建设固定停车设施或者采用电子围栏等技术手段，规范用户停放行为，</w:t>
            </w:r>
            <w:bookmarkStart w:id="5" w:name="OLE_LINK62"/>
            <w:bookmarkStart w:id="6" w:name="OLE_LINK61"/>
            <w:r>
              <w:rPr>
                <w:rFonts w:hint="eastAsia" w:ascii="仿宋_GB2312" w:hAnsi="仿宋" w:eastAsia="仿宋_GB2312"/>
                <w:color w:val="333333"/>
                <w:sz w:val="24"/>
                <w:szCs w:val="24"/>
                <w:shd w:val="clear" w:color="auto" w:fill="FFFFFF"/>
              </w:rPr>
              <w:t>及时整理违规停放的车辆，</w:t>
            </w:r>
            <w:bookmarkEnd w:id="5"/>
            <w:bookmarkEnd w:id="6"/>
            <w:r>
              <w:rPr>
                <w:rFonts w:hint="eastAsia" w:ascii="仿宋_GB2312" w:hAnsi="仿宋" w:eastAsia="仿宋_GB2312"/>
                <w:color w:val="333333"/>
                <w:sz w:val="24"/>
                <w:szCs w:val="24"/>
                <w:shd w:val="clear" w:color="auto" w:fill="FFFFFF"/>
              </w:rPr>
              <w:t>及时回收故障、破损车辆。</w:t>
            </w:r>
            <w:r>
              <w:rPr>
                <w:rFonts w:hint="eastAsia" w:ascii="仿宋_GB2312" w:hAnsi="仿宋" w:eastAsia="仿宋_GB2312" w:cs="仿宋"/>
                <w:sz w:val="24"/>
                <w:szCs w:val="24"/>
              </w:rPr>
              <w:t>”</w:t>
            </w:r>
            <w:bookmarkEnd w:id="3"/>
            <w:bookmarkEnd w:id="4"/>
          </w:p>
        </w:tc>
      </w:tr>
      <w:tr w14:paraId="1B5B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352F56F5">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违法责任</w:t>
            </w:r>
          </w:p>
        </w:tc>
        <w:tc>
          <w:tcPr>
            <w:tcW w:w="5721" w:type="dxa"/>
            <w:vAlign w:val="center"/>
          </w:tcPr>
          <w:p w14:paraId="45FF55FF">
            <w:pPr>
              <w:jc w:val="left"/>
              <w:rPr>
                <w:rFonts w:ascii="仿宋_GB2312" w:hAnsi="仿宋_GB2312" w:eastAsia="仿宋_GB2312" w:cs="仿宋_GB2312"/>
                <w:sz w:val="24"/>
                <w:szCs w:val="24"/>
                <w:lang w:val="en"/>
              </w:rPr>
            </w:pPr>
            <w:bookmarkStart w:id="7" w:name="OLE_LINK48"/>
            <w:bookmarkStart w:id="8" w:name="OLE_LINK93"/>
            <w:bookmarkStart w:id="9" w:name="OLE_LINK94"/>
            <w:bookmarkStart w:id="10" w:name="OLE_LINK46"/>
            <w:r>
              <w:rPr>
                <w:rFonts w:hint="eastAsia" w:ascii="仿宋_GB2312" w:hAnsi="仿宋" w:eastAsia="仿宋_GB2312" w:cs="仿宋"/>
                <w:sz w:val="24"/>
                <w:szCs w:val="24"/>
              </w:rPr>
              <w:t>《威海市停车管理和服务条例》</w:t>
            </w:r>
            <w:bookmarkEnd w:id="7"/>
            <w:r>
              <w:rPr>
                <w:rFonts w:hint="eastAsia" w:ascii="仿宋_GB2312" w:hAnsi="仿宋" w:eastAsia="仿宋_GB2312"/>
                <w:color w:val="333333"/>
                <w:sz w:val="24"/>
                <w:szCs w:val="24"/>
                <w:shd w:val="clear" w:color="auto" w:fill="FFFFFF"/>
              </w:rPr>
              <w:t>第四十三条</w:t>
            </w:r>
            <w:bookmarkEnd w:id="8"/>
            <w:bookmarkEnd w:id="9"/>
            <w:bookmarkEnd w:id="10"/>
            <w:r>
              <w:rPr>
                <w:rFonts w:hint="eastAsia" w:ascii="仿宋_GB2312" w:hAnsi="仿宋" w:eastAsia="仿宋_GB2312"/>
                <w:color w:val="333333"/>
                <w:sz w:val="24"/>
                <w:szCs w:val="24"/>
                <w:shd w:val="clear" w:color="auto" w:fill="FFFFFF"/>
              </w:rPr>
              <w:t>“</w:t>
            </w:r>
            <w:r>
              <w:rPr>
                <w:rFonts w:ascii="仿宋_GB2312" w:eastAsia="仿宋_GB2312" w:cs="Calibri"/>
                <w:color w:val="333333"/>
                <w:sz w:val="24"/>
                <w:szCs w:val="24"/>
                <w:shd w:val="clear" w:color="auto" w:fill="FFFFFF"/>
              </w:rPr>
              <w:t> </w:t>
            </w:r>
            <w:r>
              <w:rPr>
                <w:rFonts w:hint="eastAsia" w:ascii="仿宋_GB2312" w:hAnsi="仿宋" w:eastAsia="仿宋_GB2312"/>
                <w:color w:val="333333"/>
                <w:sz w:val="24"/>
                <w:szCs w:val="24"/>
                <w:shd w:val="clear" w:color="auto" w:fill="FFFFFF"/>
              </w:rPr>
              <w:t>违反本条例第三十三条第三款规定，互联网租赁非机动车经营企业未及时将违规停放的车辆整理到互联网租赁非机动车停放点停放以及及时回收故障、破损车辆的，公安机关交通管理部门或者</w:t>
            </w:r>
            <w:bookmarkStart w:id="11" w:name="OLE_LINK52"/>
            <w:bookmarkStart w:id="12" w:name="OLE_LINK49"/>
            <w:r>
              <w:rPr>
                <w:rFonts w:hint="eastAsia" w:ascii="仿宋_GB2312" w:hAnsi="仿宋" w:eastAsia="仿宋_GB2312"/>
                <w:color w:val="333333"/>
                <w:sz w:val="24"/>
                <w:szCs w:val="24"/>
                <w:shd w:val="clear" w:color="auto" w:fill="FFFFFF"/>
              </w:rPr>
              <w:t>城市管理主管部门按照职责</w:t>
            </w:r>
            <w:bookmarkEnd w:id="11"/>
            <w:bookmarkEnd w:id="12"/>
            <w:r>
              <w:rPr>
                <w:rFonts w:hint="eastAsia" w:ascii="仿宋_GB2312" w:hAnsi="仿宋" w:eastAsia="仿宋_GB2312"/>
                <w:color w:val="333333"/>
                <w:sz w:val="24"/>
                <w:szCs w:val="24"/>
                <w:shd w:val="clear" w:color="auto" w:fill="FFFFFF"/>
              </w:rPr>
              <w:t>，对互联网租赁非机动车经营企业进行警告，责令改正；拒不改正的，按照</w:t>
            </w:r>
            <w:bookmarkStart w:id="13" w:name="OLE_LINK92"/>
            <w:bookmarkStart w:id="14" w:name="OLE_LINK90"/>
            <w:bookmarkStart w:id="15" w:name="OLE_LINK91"/>
            <w:bookmarkStart w:id="16" w:name="OLE_LINK44"/>
            <w:bookmarkStart w:id="17" w:name="OLE_LINK45"/>
            <w:r>
              <w:rPr>
                <w:rFonts w:hint="eastAsia" w:ascii="仿宋_GB2312" w:hAnsi="仿宋" w:eastAsia="仿宋_GB2312"/>
                <w:color w:val="333333"/>
                <w:sz w:val="24"/>
                <w:szCs w:val="24"/>
                <w:shd w:val="clear" w:color="auto" w:fill="FFFFFF"/>
              </w:rPr>
              <w:t>违规车辆每辆一百元</w:t>
            </w:r>
            <w:bookmarkEnd w:id="13"/>
            <w:bookmarkEnd w:id="14"/>
            <w:bookmarkEnd w:id="15"/>
            <w:r>
              <w:rPr>
                <w:rFonts w:hint="eastAsia" w:ascii="仿宋_GB2312" w:hAnsi="仿宋" w:eastAsia="仿宋_GB2312"/>
                <w:color w:val="333333"/>
                <w:sz w:val="24"/>
                <w:szCs w:val="24"/>
                <w:shd w:val="clear" w:color="auto" w:fill="FFFFFF"/>
              </w:rPr>
              <w:t>的标准罚款</w:t>
            </w:r>
            <w:bookmarkEnd w:id="16"/>
            <w:bookmarkEnd w:id="17"/>
            <w:r>
              <w:rPr>
                <w:rFonts w:hint="eastAsia" w:ascii="仿宋_GB2312" w:hAnsi="仿宋" w:eastAsia="仿宋_GB2312"/>
                <w:color w:val="333333"/>
                <w:sz w:val="24"/>
                <w:szCs w:val="24"/>
                <w:shd w:val="clear" w:color="auto" w:fill="FFFFFF"/>
              </w:rPr>
              <w:t>。”</w:t>
            </w:r>
          </w:p>
        </w:tc>
      </w:tr>
      <w:tr w14:paraId="415F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06AC92A6">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合规建议</w:t>
            </w:r>
          </w:p>
        </w:tc>
        <w:tc>
          <w:tcPr>
            <w:tcW w:w="5721" w:type="dxa"/>
            <w:vAlign w:val="center"/>
          </w:tcPr>
          <w:p w14:paraId="1868A273">
            <w:pPr>
              <w:jc w:val="left"/>
              <w:rPr>
                <w:rFonts w:ascii="仿宋_GB2312" w:hAnsi="仿宋_GB2312" w:eastAsia="仿宋_GB2312" w:cs="仿宋_GB2312"/>
                <w:sz w:val="24"/>
                <w:szCs w:val="24"/>
                <w:lang w:val="en"/>
              </w:rPr>
            </w:pPr>
            <w:r>
              <w:rPr>
                <w:rFonts w:hint="eastAsia" w:ascii="仿宋_GB2312" w:hAnsi="仿宋_GB2312" w:eastAsia="仿宋_GB2312" w:cs="仿宋_GB2312"/>
                <w:sz w:val="24"/>
                <w:szCs w:val="24"/>
              </w:rPr>
              <w:t>依据</w:t>
            </w:r>
            <w:bookmarkStart w:id="18" w:name="OLE_LINK3"/>
            <w:r>
              <w:rPr>
                <w:rFonts w:hint="eastAsia" w:ascii="仿宋_GB2312" w:hAnsi="仿宋_GB2312" w:eastAsia="仿宋_GB2312" w:cs="仿宋_GB2312"/>
                <w:sz w:val="24"/>
                <w:szCs w:val="24"/>
              </w:rPr>
              <w:t>《</w:t>
            </w:r>
            <w:bookmarkEnd w:id="18"/>
            <w:r>
              <w:rPr>
                <w:rFonts w:hint="eastAsia" w:ascii="仿宋_GB2312" w:hAnsi="仿宋" w:eastAsia="仿宋_GB2312" w:cs="仿宋"/>
                <w:sz w:val="24"/>
                <w:szCs w:val="24"/>
              </w:rPr>
              <w:t>《威海市停车管理和服务条例》第三十三条第三款，</w:t>
            </w:r>
            <w:r>
              <w:rPr>
                <w:rFonts w:hint="eastAsia" w:ascii="仿宋_GB2312" w:hAnsi="仿宋_GB2312" w:eastAsia="仿宋_GB2312" w:cs="仿宋_GB2312"/>
                <w:sz w:val="24"/>
                <w:szCs w:val="24"/>
              </w:rPr>
              <w:t>应当</w:t>
            </w:r>
            <w:r>
              <w:rPr>
                <w:rFonts w:hint="eastAsia" w:ascii="仿宋_GB2312" w:hAnsi="仿宋" w:eastAsia="仿宋_GB2312"/>
                <w:color w:val="333333"/>
                <w:sz w:val="24"/>
                <w:szCs w:val="24"/>
                <w:shd w:val="clear" w:color="auto" w:fill="FFFFFF"/>
              </w:rPr>
              <w:t>及时整理违规停放的车辆</w:t>
            </w:r>
            <w:r>
              <w:rPr>
                <w:rFonts w:hint="eastAsia" w:ascii="仿宋_GB2312" w:hAnsi="仿宋_GB2312" w:eastAsia="仿宋_GB2312" w:cs="仿宋_GB2312"/>
                <w:sz w:val="24"/>
                <w:szCs w:val="24"/>
              </w:rPr>
              <w:t>。</w:t>
            </w:r>
          </w:p>
        </w:tc>
      </w:tr>
      <w:tr w14:paraId="4B5B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35C59DB">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关联性政策规定</w:t>
            </w:r>
          </w:p>
        </w:tc>
        <w:tc>
          <w:tcPr>
            <w:tcW w:w="5721" w:type="dxa"/>
            <w:vAlign w:val="center"/>
          </w:tcPr>
          <w:p w14:paraId="57A4862B">
            <w:pPr>
              <w:jc w:val="left"/>
              <w:rPr>
                <w:rFonts w:ascii="仿宋_GB2312" w:hAnsi="仿宋_GB2312" w:eastAsia="仿宋_GB2312" w:cs="仿宋_GB2312"/>
                <w:sz w:val="24"/>
                <w:szCs w:val="24"/>
              </w:rPr>
            </w:pPr>
            <w:r>
              <w:rPr>
                <w:rFonts w:hint="eastAsia" w:ascii="仿宋_GB2312" w:hAnsi="仿宋" w:eastAsia="仿宋_GB2312" w:cs="仿宋"/>
                <w:sz w:val="24"/>
                <w:szCs w:val="24"/>
              </w:rPr>
              <w:t>《威海市停车管理和服务条例》第三十三条第三款</w:t>
            </w:r>
            <w:r>
              <w:rPr>
                <w:rFonts w:hint="eastAsia" w:ascii="仿宋_GB2312" w:hAnsi="仿宋_GB2312" w:eastAsia="仿宋_GB2312" w:cs="仿宋_GB2312"/>
                <w:sz w:val="24"/>
                <w:szCs w:val="24"/>
              </w:rPr>
              <w:t>及</w:t>
            </w:r>
            <w:r>
              <w:rPr>
                <w:rFonts w:hint="eastAsia" w:ascii="仿宋_GB2312" w:hAnsi="仿宋" w:eastAsia="仿宋_GB2312"/>
                <w:color w:val="333333"/>
                <w:sz w:val="24"/>
                <w:szCs w:val="24"/>
                <w:shd w:val="clear" w:color="auto" w:fill="FFFFFF"/>
              </w:rPr>
              <w:t>第四十三条</w:t>
            </w:r>
            <w:r>
              <w:rPr>
                <w:rFonts w:hint="eastAsia" w:ascii="仿宋_GB2312" w:hAnsi="仿宋_GB2312" w:eastAsia="仿宋_GB2312" w:cs="仿宋_GB2312"/>
                <w:sz w:val="24"/>
                <w:szCs w:val="24"/>
              </w:rPr>
              <w:t>。</w:t>
            </w:r>
          </w:p>
        </w:tc>
      </w:tr>
      <w:tr w14:paraId="2CE0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6C6318C">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其他政策建议</w:t>
            </w:r>
          </w:p>
        </w:tc>
        <w:tc>
          <w:tcPr>
            <w:tcW w:w="5721" w:type="dxa"/>
            <w:vAlign w:val="center"/>
          </w:tcPr>
          <w:p w14:paraId="62A33EA6">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无</w:t>
            </w:r>
          </w:p>
        </w:tc>
      </w:tr>
    </w:tbl>
    <w:p w14:paraId="0AD2C26C">
      <w:pPr>
        <w:rPr>
          <w:rFonts w:ascii="Times New Roman" w:hAnsi="Times New Roman" w:cs="Times New Roman"/>
        </w:rPr>
      </w:pPr>
    </w:p>
    <w:p w14:paraId="4809126E">
      <w:pPr>
        <w:pStyle w:val="8"/>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企业合规经营政策指导建议书</w:t>
      </w: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9"/>
        <w:gridCol w:w="5721"/>
      </w:tblGrid>
      <w:tr w14:paraId="3D3A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13017F09">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执法事项名称</w:t>
            </w:r>
          </w:p>
        </w:tc>
        <w:tc>
          <w:tcPr>
            <w:tcW w:w="5721" w:type="dxa"/>
            <w:noWrap w:val="0"/>
            <w:vAlign w:val="center"/>
          </w:tcPr>
          <w:p w14:paraId="4AC958C2">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未按照规定取得证明，在噪声敏感建筑物集中区域夜间进行产生噪音的建筑施工作业的处罚</w:t>
            </w:r>
          </w:p>
        </w:tc>
      </w:tr>
      <w:tr w14:paraId="3D4B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34CC84DE">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违法风险点</w:t>
            </w:r>
          </w:p>
        </w:tc>
        <w:tc>
          <w:tcPr>
            <w:tcW w:w="5721" w:type="dxa"/>
            <w:noWrap w:val="0"/>
            <w:vAlign w:val="center"/>
          </w:tcPr>
          <w:p w14:paraId="729A47FC">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kern w:val="2"/>
                <w:sz w:val="21"/>
                <w:szCs w:val="21"/>
                <w:lang w:val="en-US" w:eastAsia="zh-CN" w:bidi="ar-SA"/>
              </w:rPr>
              <w:t>未按照规定取得证明，在噪声敏感建筑物集中区域夜间进行产生噪音的建筑施工的行</w:t>
            </w:r>
            <w:r>
              <w:rPr>
                <w:rFonts w:hint="eastAsia" w:ascii="仿宋_GB2312" w:hAnsi="仿宋_GB2312" w:eastAsia="仿宋_GB2312" w:cs="仿宋_GB2312"/>
                <w:sz w:val="21"/>
                <w:szCs w:val="21"/>
                <w:lang w:val="en-US" w:eastAsia="zh-CN"/>
              </w:rPr>
              <w:t>为违反了</w:t>
            </w:r>
            <w:r>
              <w:rPr>
                <w:rFonts w:hint="eastAsia" w:ascii="仿宋_GB2312" w:hAnsi="仿宋_GB2312" w:eastAsia="仿宋_GB2312" w:cs="仿宋_GB2312"/>
                <w:kern w:val="2"/>
                <w:sz w:val="21"/>
                <w:szCs w:val="21"/>
                <w:lang w:val="en-US" w:eastAsia="zh-CN" w:bidi="ar-SA"/>
              </w:rPr>
              <w:t>《</w:t>
            </w:r>
            <w:r>
              <w:rPr>
                <w:rFonts w:hint="default" w:ascii="仿宋_GB2312" w:hAnsi="仿宋_GB2312" w:eastAsia="仿宋_GB2312" w:cs="仿宋_GB2312"/>
                <w:kern w:val="2"/>
                <w:sz w:val="24"/>
                <w:szCs w:val="24"/>
                <w:lang w:val="en-US" w:eastAsia="zh-CN"/>
              </w:rPr>
              <w:t>中华人民共和国噪声污染防治法</w:t>
            </w:r>
            <w:r>
              <w:rPr>
                <w:rFonts w:hint="eastAsia" w:ascii="仿宋_GB2312" w:hAnsi="仿宋_GB2312" w:eastAsia="仿宋_GB2312" w:cs="仿宋_GB2312"/>
                <w:kern w:val="2"/>
                <w:sz w:val="21"/>
                <w:szCs w:val="21"/>
                <w:lang w:val="en-US" w:eastAsia="zh-CN" w:bidi="ar-SA"/>
              </w:rPr>
              <w:t>》的规定</w:t>
            </w:r>
            <w:r>
              <w:rPr>
                <w:rFonts w:hint="eastAsia" w:ascii="仿宋_GB2312" w:hAnsi="仿宋_GB2312" w:eastAsia="仿宋_GB2312" w:cs="仿宋_GB2312"/>
                <w:kern w:val="2"/>
                <w:sz w:val="21"/>
                <w:szCs w:val="21"/>
                <w:lang w:val="en-US" w:eastAsia="zh-CN"/>
              </w:rPr>
              <w:t>，由工程所在地人民政府指定的部门可依规</w:t>
            </w:r>
            <w:r>
              <w:rPr>
                <w:rFonts w:hint="eastAsia" w:ascii="仿宋_GB2312" w:hAnsi="仿宋_GB2312" w:eastAsia="仿宋_GB2312" w:cs="仿宋_GB2312"/>
                <w:kern w:val="2"/>
                <w:sz w:val="21"/>
                <w:szCs w:val="21"/>
              </w:rPr>
              <w:t>责令</w:t>
            </w:r>
            <w:r>
              <w:rPr>
                <w:rFonts w:hint="eastAsia" w:ascii="仿宋_GB2312" w:hAnsi="仿宋_GB2312" w:eastAsia="仿宋_GB2312" w:cs="仿宋_GB2312"/>
                <w:kern w:val="2"/>
                <w:sz w:val="21"/>
                <w:szCs w:val="21"/>
                <w:lang w:val="en-US" w:eastAsia="zh-CN"/>
              </w:rPr>
              <w:t>整改或进行处罚。</w:t>
            </w:r>
          </w:p>
        </w:tc>
      </w:tr>
      <w:tr w14:paraId="16F9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3259" w:type="dxa"/>
            <w:noWrap w:val="0"/>
            <w:vAlign w:val="center"/>
          </w:tcPr>
          <w:p w14:paraId="590B88DA">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常见违法行为表现</w:t>
            </w:r>
          </w:p>
        </w:tc>
        <w:tc>
          <w:tcPr>
            <w:tcW w:w="5721" w:type="dxa"/>
            <w:noWrap w:val="0"/>
            <w:vAlign w:val="center"/>
          </w:tcPr>
          <w:p w14:paraId="4DCC72CD">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lang w:val="en-US" w:eastAsia="zh-CN"/>
              </w:rPr>
              <w:t>未按照规定取得证明，在噪声敏感建筑物集中区域夜间进行产生噪音的建筑施工作业</w:t>
            </w:r>
          </w:p>
        </w:tc>
      </w:tr>
      <w:tr w14:paraId="522E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2D88B250">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法律法规依据</w:t>
            </w:r>
          </w:p>
        </w:tc>
        <w:tc>
          <w:tcPr>
            <w:tcW w:w="5721" w:type="dxa"/>
            <w:noWrap w:val="0"/>
            <w:vAlign w:val="center"/>
          </w:tcPr>
          <w:p w14:paraId="16C51157">
            <w:pPr>
              <w:jc w:val="center"/>
              <w:rPr>
                <w:rFonts w:hint="eastAsia" w:ascii="仿宋_GB2312" w:hAnsi="仿宋_GB2312" w:eastAsia="仿宋_GB2312" w:cs="仿宋_GB2312"/>
                <w:sz w:val="21"/>
                <w:szCs w:val="21"/>
                <w:vertAlign w:val="baseline"/>
                <w:lang w:val="en" w:eastAsia="zh-CN"/>
              </w:rPr>
            </w:pP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中华人民共和国噪声污染防治法</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第四十三条</w:t>
            </w:r>
            <w:r>
              <w:rPr>
                <w:rFonts w:hint="eastAsia" w:ascii="仿宋_GB2312" w:hAnsi="仿宋_GB2312" w:eastAsia="仿宋_GB2312" w:cs="仿宋_GB2312"/>
                <w:sz w:val="21"/>
                <w:szCs w:val="21"/>
                <w:lang w:val="en-US" w:eastAsia="zh-CN"/>
              </w:rPr>
              <w:t>“在噪声敏感建筑物集中区域，禁止夜间进行产生噪声的建筑施工作业，但抢修、抢险施工作业，因生产工艺要求或者其他特殊需要必须连续施工作业的除外。因特殊需要必须连续施工作业的，应当取得地方人民政府住房和城乡建设、生态环境主管部门或者地方人民政府指定的部门的证明，并在施工现场显著位置公示或者以其他方式公告附近居民”。</w:t>
            </w:r>
          </w:p>
        </w:tc>
      </w:tr>
      <w:tr w14:paraId="6785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03481B74">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违法责任</w:t>
            </w:r>
          </w:p>
        </w:tc>
        <w:tc>
          <w:tcPr>
            <w:tcW w:w="5721" w:type="dxa"/>
            <w:noWrap w:val="0"/>
            <w:vAlign w:val="center"/>
          </w:tcPr>
          <w:p w14:paraId="7F50A9FB">
            <w:pPr>
              <w:jc w:val="center"/>
              <w:rPr>
                <w:rFonts w:hint="eastAsia" w:ascii="仿宋_GB2312" w:hAnsi="仿宋_GB2312" w:eastAsia="仿宋_GB2312" w:cs="仿宋_GB2312"/>
                <w:sz w:val="21"/>
                <w:szCs w:val="21"/>
                <w:vertAlign w:val="baseline"/>
                <w:lang w:val="en" w:eastAsia="zh-CN"/>
              </w:rPr>
            </w:pPr>
            <w:r>
              <w:rPr>
                <w:rFonts w:hint="default" w:ascii="仿宋_GB2312" w:hAnsi="仿宋_GB2312" w:eastAsia="仿宋_GB2312" w:cs="仿宋_GB2312"/>
                <w:sz w:val="21"/>
                <w:szCs w:val="21"/>
                <w:lang w:val="en-US" w:eastAsia="zh-CN"/>
              </w:rPr>
              <w:t>《中华人民共和国噪声污染防治法》第七十七条</w:t>
            </w:r>
            <w:r>
              <w:rPr>
                <w:rFonts w:hint="eastAsia" w:ascii="仿宋_GB2312" w:hAnsi="仿宋_GB2312" w:eastAsia="仿宋_GB2312" w:cs="仿宋_GB2312"/>
                <w:sz w:val="21"/>
                <w:szCs w:val="21"/>
                <w:lang w:val="en-US" w:eastAsia="zh-CN"/>
              </w:rPr>
              <w:t>“违反本法规定，建设单位、施工单位有下列行为之一，由工程所在地人民政府指定的部门责令改正，处一万元以上十万元以下的罚款；拒不改正的，可以责令暂停施工。.....（二）未按照规定取得证明，在噪声敏感建筑物集中区域夜间进行产生噪声的建筑施工作业的。”</w:t>
            </w:r>
          </w:p>
        </w:tc>
      </w:tr>
      <w:tr w14:paraId="7BF5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080EE24F">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合规建议</w:t>
            </w:r>
          </w:p>
        </w:tc>
        <w:tc>
          <w:tcPr>
            <w:tcW w:w="5721" w:type="dxa"/>
            <w:noWrap w:val="0"/>
            <w:vAlign w:val="center"/>
          </w:tcPr>
          <w:p w14:paraId="4BF8D8AC">
            <w:pPr>
              <w:jc w:val="center"/>
              <w:rPr>
                <w:rFonts w:hint="eastAsia" w:ascii="仿宋_GB2312" w:hAnsi="仿宋_GB2312" w:eastAsia="仿宋_GB2312" w:cs="仿宋_GB2312"/>
                <w:sz w:val="21"/>
                <w:szCs w:val="21"/>
                <w:vertAlign w:val="baseline"/>
                <w:lang w:val="en" w:eastAsia="zh-CN"/>
              </w:rPr>
            </w:pPr>
            <w:r>
              <w:rPr>
                <w:rFonts w:hint="eastAsia" w:ascii="仿宋_GB2312" w:hAnsi="仿宋_GB2312" w:eastAsia="仿宋_GB2312" w:cs="仿宋_GB2312"/>
                <w:kern w:val="2"/>
                <w:sz w:val="21"/>
                <w:szCs w:val="21"/>
                <w:lang w:val="en-US" w:eastAsia="zh-CN" w:bidi="ar-SA"/>
              </w:rPr>
              <w:t>依据《</w:t>
            </w:r>
            <w:r>
              <w:rPr>
                <w:rFonts w:hint="default" w:ascii="仿宋_GB2312" w:hAnsi="仿宋_GB2312" w:eastAsia="仿宋_GB2312" w:cs="仿宋_GB2312"/>
                <w:sz w:val="21"/>
                <w:szCs w:val="21"/>
                <w:lang w:val="en-US" w:eastAsia="zh-CN"/>
              </w:rPr>
              <w:t>中华人民共和国噪声污染防治法</w:t>
            </w:r>
            <w:r>
              <w:rPr>
                <w:rFonts w:hint="eastAsia" w:ascii="仿宋_GB2312" w:hAnsi="仿宋_GB2312" w:eastAsia="仿宋_GB2312" w:cs="仿宋_GB2312"/>
                <w:kern w:val="2"/>
                <w:sz w:val="21"/>
                <w:szCs w:val="21"/>
                <w:lang w:val="en-US" w:eastAsia="zh-CN" w:bidi="ar-SA"/>
              </w:rPr>
              <w:t>》</w:t>
            </w:r>
            <w:r>
              <w:rPr>
                <w:rFonts w:hint="default" w:ascii="仿宋_GB2312" w:hAnsi="仿宋_GB2312" w:eastAsia="仿宋_GB2312" w:cs="仿宋_GB2312"/>
                <w:sz w:val="21"/>
                <w:szCs w:val="21"/>
                <w:lang w:val="en-US" w:eastAsia="zh-CN"/>
              </w:rPr>
              <w:t>第四十三条</w:t>
            </w:r>
            <w:r>
              <w:rPr>
                <w:rFonts w:hint="eastAsia" w:ascii="仿宋_GB2312" w:hAnsi="仿宋_GB2312" w:eastAsia="仿宋_GB2312" w:cs="仿宋_GB2312"/>
                <w:sz w:val="21"/>
                <w:szCs w:val="21"/>
                <w:lang w:val="en-US" w:eastAsia="zh-CN"/>
              </w:rPr>
              <w:t>应当取得地方人民政府住房和城乡建设、生态环境主管部门或者地方人民政府指定的部门的证明，并在施工现场显著位置公示或者以其他方式公告附近居民</w:t>
            </w:r>
            <w:r>
              <w:rPr>
                <w:rFonts w:hint="eastAsia" w:ascii="仿宋_GB2312" w:hAnsi="仿宋_GB2312" w:eastAsia="仿宋_GB2312" w:cs="仿宋_GB2312"/>
                <w:kern w:val="2"/>
                <w:sz w:val="21"/>
                <w:szCs w:val="21"/>
                <w:lang w:val="en-US" w:eastAsia="zh-CN" w:bidi="ar-SA"/>
              </w:rPr>
              <w:t>。</w:t>
            </w:r>
          </w:p>
        </w:tc>
      </w:tr>
      <w:tr w14:paraId="1F0A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noWrap w:val="0"/>
            <w:vAlign w:val="center"/>
          </w:tcPr>
          <w:p w14:paraId="6007EC07">
            <w:pPr>
              <w:jc w:val="center"/>
              <w:rPr>
                <w:rFonts w:hint="default" w:ascii="Times New Roman" w:hAnsi="Times New Roman" w:eastAsia="仿宋_GB2312" w:cs="Times New Roman"/>
                <w:sz w:val="32"/>
                <w:szCs w:val="32"/>
                <w:vertAlign w:val="baseline"/>
                <w:lang w:val="en" w:eastAsia="zh-CN"/>
              </w:rPr>
            </w:pPr>
            <w:r>
              <w:rPr>
                <w:rFonts w:hint="default" w:ascii="Times New Roman" w:hAnsi="Times New Roman" w:eastAsia="仿宋_GB2312" w:cs="Times New Roman"/>
                <w:sz w:val="32"/>
                <w:szCs w:val="32"/>
                <w:vertAlign w:val="baseline"/>
                <w:lang w:val="en" w:eastAsia="zh-CN"/>
              </w:rPr>
              <w:t>关联性政策规定</w:t>
            </w:r>
          </w:p>
        </w:tc>
        <w:tc>
          <w:tcPr>
            <w:tcW w:w="5721" w:type="dxa"/>
            <w:noWrap w:val="0"/>
            <w:vAlign w:val="center"/>
          </w:tcPr>
          <w:p w14:paraId="0FE4F0B4">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中华人民共和国噪声污染防治法</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第四十三条</w:t>
            </w:r>
            <w:r>
              <w:rPr>
                <w:rFonts w:hint="eastAsia" w:ascii="仿宋_GB2312" w:hAnsi="仿宋_GB2312" w:eastAsia="仿宋_GB2312" w:cs="仿宋_GB2312"/>
                <w:kern w:val="2"/>
                <w:sz w:val="21"/>
                <w:szCs w:val="21"/>
                <w:lang w:val="en-US" w:eastAsia="zh-CN" w:bidi="ar-SA"/>
              </w:rPr>
              <w:t>及</w:t>
            </w:r>
            <w:r>
              <w:rPr>
                <w:rFonts w:hint="eastAsia" w:ascii="仿宋_GB2312" w:hAnsi="仿宋_GB2312" w:eastAsia="仿宋_GB2312" w:cs="仿宋_GB2312"/>
                <w:kern w:val="2"/>
                <w:sz w:val="21"/>
                <w:szCs w:val="21"/>
              </w:rPr>
              <w:t>第</w:t>
            </w:r>
            <w:r>
              <w:rPr>
                <w:rFonts w:hint="default" w:ascii="仿宋_GB2312" w:hAnsi="仿宋_GB2312" w:eastAsia="仿宋_GB2312" w:cs="仿宋_GB2312"/>
                <w:sz w:val="21"/>
                <w:szCs w:val="21"/>
                <w:lang w:val="en-US" w:eastAsia="zh-CN"/>
              </w:rPr>
              <w:t>七十七</w:t>
            </w:r>
            <w:r>
              <w:rPr>
                <w:rFonts w:hint="eastAsia" w:ascii="仿宋_GB2312" w:hAnsi="仿宋_GB2312" w:eastAsia="仿宋_GB2312" w:cs="仿宋_GB2312"/>
                <w:kern w:val="2"/>
                <w:sz w:val="21"/>
                <w:szCs w:val="21"/>
              </w:rPr>
              <w:t>条第一款第(</w:t>
            </w:r>
            <w:r>
              <w:rPr>
                <w:rFonts w:hint="eastAsia" w:ascii="仿宋_GB2312" w:hAnsi="仿宋_GB2312" w:eastAsia="仿宋_GB2312" w:cs="仿宋_GB2312"/>
                <w:kern w:val="2"/>
                <w:sz w:val="21"/>
                <w:szCs w:val="21"/>
                <w:lang w:val="en-US" w:eastAsia="zh-CN"/>
              </w:rPr>
              <w:t>二</w:t>
            </w:r>
            <w:r>
              <w:rPr>
                <w:rFonts w:hint="eastAsia" w:ascii="仿宋_GB2312" w:hAnsi="仿宋_GB2312" w:eastAsia="仿宋_GB2312" w:cs="仿宋_GB2312"/>
                <w:kern w:val="2"/>
                <w:sz w:val="21"/>
                <w:szCs w:val="21"/>
              </w:rPr>
              <w:t>)项</w:t>
            </w:r>
            <w:r>
              <w:rPr>
                <w:rFonts w:hint="eastAsia" w:ascii="仿宋_GB2312" w:hAnsi="仿宋_GB2312" w:eastAsia="仿宋_GB2312" w:cs="仿宋_GB2312"/>
                <w:kern w:val="2"/>
                <w:sz w:val="21"/>
                <w:szCs w:val="21"/>
                <w:lang w:eastAsia="zh-CN"/>
              </w:rPr>
              <w:t>。</w:t>
            </w:r>
          </w:p>
        </w:tc>
      </w:tr>
      <w:tr w14:paraId="5BE2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3259" w:type="dxa"/>
            <w:noWrap w:val="0"/>
            <w:vAlign w:val="center"/>
          </w:tcPr>
          <w:p w14:paraId="589E8D65">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其他政策建议</w:t>
            </w:r>
          </w:p>
        </w:tc>
        <w:tc>
          <w:tcPr>
            <w:tcW w:w="5721" w:type="dxa"/>
            <w:noWrap w:val="0"/>
            <w:vAlign w:val="center"/>
          </w:tcPr>
          <w:p w14:paraId="538F5019">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无</w:t>
            </w:r>
          </w:p>
        </w:tc>
      </w:tr>
    </w:tbl>
    <w:p w14:paraId="33497A6E">
      <w:pPr>
        <w:pStyle w:val="2"/>
        <w:jc w:val="both"/>
        <w:rPr>
          <w:rFonts w:hint="eastAsia"/>
          <w:lang w:eastAsia="zh-CN"/>
        </w:rPr>
      </w:pPr>
    </w:p>
    <w:p w14:paraId="58E188A7">
      <w:pPr>
        <w:bidi w:val="0"/>
        <w:rPr>
          <w:rFonts w:hint="eastAsia"/>
          <w:lang w:eastAsia="zh-CN"/>
        </w:rPr>
      </w:pPr>
    </w:p>
    <w:p w14:paraId="77397B9D">
      <w:pPr>
        <w:pStyle w:val="8"/>
        <w:widowControl/>
        <w:spacing w:before="0" w:beforeAutospacing="0" w:after="0" w:afterAutospacing="0"/>
        <w:jc w:val="center"/>
        <w:rPr>
          <w:rFonts w:ascii="黑体" w:hAnsi="黑体" w:eastAsia="黑体"/>
          <w:sz w:val="44"/>
          <w:szCs w:val="44"/>
        </w:rPr>
      </w:pPr>
      <w:r>
        <w:rPr>
          <w:rFonts w:hint="eastAsia"/>
          <w:lang w:eastAsia="zh-CN"/>
        </w:rPr>
        <w:tab/>
      </w:r>
      <w:r>
        <w:rPr>
          <w:rFonts w:ascii="黑体" w:hAnsi="黑体" w:eastAsia="黑体"/>
          <w:sz w:val="44"/>
          <w:szCs w:val="44"/>
        </w:rPr>
        <w:t>企业合规经营政策指导建议书</w:t>
      </w: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9"/>
        <w:gridCol w:w="5721"/>
      </w:tblGrid>
      <w:tr w14:paraId="6D70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1" w:hRule="atLeast"/>
        </w:trPr>
        <w:tc>
          <w:tcPr>
            <w:tcW w:w="3259" w:type="dxa"/>
            <w:vAlign w:val="center"/>
          </w:tcPr>
          <w:p w14:paraId="02B50F72">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执法事项名称</w:t>
            </w:r>
          </w:p>
        </w:tc>
        <w:tc>
          <w:tcPr>
            <w:tcW w:w="5721" w:type="dxa"/>
            <w:vAlign w:val="center"/>
          </w:tcPr>
          <w:p w14:paraId="38612A19">
            <w:pPr>
              <w:jc w:val="center"/>
              <w:rPr>
                <w:rFonts w:ascii="仿宋_GB2312" w:hAnsi="仿宋_GB2312" w:eastAsia="仿宋_GB2312" w:cs="仿宋_GB2312"/>
                <w:szCs w:val="21"/>
              </w:rPr>
            </w:pPr>
            <w:bookmarkStart w:id="19" w:name="OLE_LINK115"/>
            <w:bookmarkStart w:id="20" w:name="OLE_LINK116"/>
            <w:r>
              <w:rPr>
                <w:rFonts w:hint="eastAsia" w:ascii="仿宋" w:hAnsi="仿宋" w:eastAsia="仿宋" w:cs="仿宋_GB2312"/>
                <w:szCs w:val="21"/>
              </w:rPr>
              <w:t>随意倾倒生活垃圾</w:t>
            </w:r>
            <w:bookmarkEnd w:id="19"/>
            <w:bookmarkEnd w:id="20"/>
            <w:r>
              <w:rPr>
                <w:rFonts w:hint="eastAsia" w:ascii="仿宋_GB2312" w:hAnsi="仿宋_GB2312" w:eastAsia="仿宋_GB2312" w:cs="仿宋_GB2312"/>
                <w:szCs w:val="21"/>
              </w:rPr>
              <w:t>的处罚</w:t>
            </w:r>
          </w:p>
        </w:tc>
      </w:tr>
      <w:tr w14:paraId="7BD4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F4EBAD7">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违法风险点</w:t>
            </w:r>
          </w:p>
        </w:tc>
        <w:tc>
          <w:tcPr>
            <w:tcW w:w="5721" w:type="dxa"/>
            <w:vAlign w:val="center"/>
          </w:tcPr>
          <w:p w14:paraId="57FF7481">
            <w:pPr>
              <w:jc w:val="center"/>
              <w:rPr>
                <w:rFonts w:ascii="仿宋_GB2312" w:hAnsi="仿宋_GB2312" w:eastAsia="仿宋_GB2312" w:cs="仿宋_GB2312"/>
                <w:szCs w:val="21"/>
              </w:rPr>
            </w:pPr>
            <w:r>
              <w:rPr>
                <w:rFonts w:hint="eastAsia" w:ascii="仿宋" w:hAnsi="仿宋" w:eastAsia="仿宋" w:cs="仿宋_GB2312"/>
                <w:szCs w:val="21"/>
              </w:rPr>
              <w:t>随意倾倒生活垃圾</w:t>
            </w:r>
            <w:r>
              <w:rPr>
                <w:rFonts w:hint="eastAsia" w:ascii="仿宋_GB2312" w:hAnsi="仿宋_GB2312" w:eastAsia="仿宋_GB2312" w:cs="仿宋_GB2312"/>
                <w:szCs w:val="21"/>
              </w:rPr>
              <w:t>的行为违反了</w:t>
            </w:r>
            <w:r>
              <w:rPr>
                <w:rFonts w:hint="eastAsia" w:ascii="仿宋" w:hAnsi="仿宋" w:eastAsia="仿宋" w:cs="仿宋_GB2312"/>
                <w:szCs w:val="21"/>
              </w:rPr>
              <w:t>《</w:t>
            </w:r>
            <w:r>
              <w:rPr>
                <w:rFonts w:hint="eastAsia" w:ascii="仿宋" w:hAnsi="仿宋" w:eastAsia="仿宋"/>
                <w:bCs/>
                <w:szCs w:val="21"/>
                <w:shd w:val="clear" w:color="auto" w:fill="FFFFFF"/>
              </w:rPr>
              <w:t>中华人民共和国固体废物污染环境防治法</w:t>
            </w:r>
            <w:r>
              <w:rPr>
                <w:rFonts w:hint="eastAsia" w:ascii="仿宋" w:hAnsi="仿宋" w:eastAsia="仿宋" w:cs="仿宋_GB2312"/>
                <w:szCs w:val="21"/>
              </w:rPr>
              <w:t>》第四十九条第二款</w:t>
            </w:r>
            <w:r>
              <w:rPr>
                <w:rFonts w:hint="eastAsia" w:ascii="仿宋_GB2312" w:hAnsi="仿宋_GB2312" w:eastAsia="仿宋_GB2312" w:cs="仿宋_GB2312"/>
                <w:szCs w:val="21"/>
              </w:rPr>
              <w:t>的规定，</w:t>
            </w:r>
            <w:r>
              <w:rPr>
                <w:rFonts w:hint="eastAsia" w:ascii="仿宋" w:hAnsi="仿宋" w:eastAsia="仿宋" w:cs="仿宋_GB2312"/>
                <w:szCs w:val="21"/>
              </w:rPr>
              <w:t>县级以上地方人民政府环境卫生主管部门责令改正，处以罚款，没收违法所得</w:t>
            </w:r>
            <w:r>
              <w:rPr>
                <w:rFonts w:hint="eastAsia" w:ascii="仿宋_GB2312" w:hAnsi="仿宋_GB2312" w:eastAsia="仿宋_GB2312" w:cs="仿宋_GB2312"/>
                <w:szCs w:val="21"/>
              </w:rPr>
              <w:t>。</w:t>
            </w:r>
          </w:p>
        </w:tc>
      </w:tr>
      <w:tr w14:paraId="3BC7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8EF55AE">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常见违法行为表现</w:t>
            </w:r>
          </w:p>
        </w:tc>
        <w:tc>
          <w:tcPr>
            <w:tcW w:w="5721" w:type="dxa"/>
            <w:vAlign w:val="center"/>
          </w:tcPr>
          <w:p w14:paraId="6F3308E0">
            <w:pPr>
              <w:jc w:val="center"/>
              <w:rPr>
                <w:rFonts w:ascii="仿宋_GB2312" w:hAnsi="仿宋_GB2312" w:eastAsia="仿宋_GB2312" w:cs="仿宋_GB2312"/>
                <w:szCs w:val="21"/>
              </w:rPr>
            </w:pPr>
            <w:r>
              <w:rPr>
                <w:rFonts w:hint="eastAsia" w:ascii="仿宋" w:hAnsi="仿宋" w:eastAsia="仿宋" w:cs="仿宋_GB2312"/>
                <w:szCs w:val="21"/>
              </w:rPr>
              <w:t>随意倾倒生活垃圾</w:t>
            </w:r>
          </w:p>
        </w:tc>
      </w:tr>
      <w:tr w14:paraId="2F3A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7C10B1AB">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法律法规依据</w:t>
            </w:r>
          </w:p>
        </w:tc>
        <w:tc>
          <w:tcPr>
            <w:tcW w:w="5721" w:type="dxa"/>
            <w:vAlign w:val="center"/>
          </w:tcPr>
          <w:p w14:paraId="08EFDF65">
            <w:pPr>
              <w:jc w:val="center"/>
              <w:rPr>
                <w:rFonts w:ascii="仿宋_GB2312" w:hAnsi="仿宋_GB2312" w:eastAsia="仿宋_GB2312" w:cs="仿宋_GB2312"/>
                <w:szCs w:val="21"/>
                <w:lang w:val="en"/>
              </w:rPr>
            </w:pPr>
            <w:bookmarkStart w:id="21" w:name="OLE_LINK126"/>
            <w:bookmarkStart w:id="22" w:name="OLE_LINK114"/>
            <w:bookmarkStart w:id="23" w:name="OLE_LINK113"/>
            <w:bookmarkStart w:id="24" w:name="OLE_LINK122"/>
            <w:bookmarkStart w:id="25" w:name="OLE_LINK123"/>
            <w:r>
              <w:rPr>
                <w:rFonts w:hint="eastAsia" w:ascii="仿宋" w:hAnsi="仿宋" w:eastAsia="仿宋" w:cs="仿宋_GB2312"/>
                <w:szCs w:val="21"/>
              </w:rPr>
              <w:t>《</w:t>
            </w:r>
            <w:bookmarkStart w:id="26" w:name="OLE_LINK120"/>
            <w:bookmarkStart w:id="27" w:name="OLE_LINK121"/>
            <w:r>
              <w:rPr>
                <w:rFonts w:hint="eastAsia" w:ascii="仿宋" w:hAnsi="仿宋" w:eastAsia="仿宋"/>
                <w:bCs/>
                <w:szCs w:val="21"/>
                <w:shd w:val="clear" w:color="auto" w:fill="FFFFFF"/>
              </w:rPr>
              <w:t>中华人民共和国固体废物污染环境防治法</w:t>
            </w:r>
            <w:bookmarkEnd w:id="26"/>
            <w:bookmarkEnd w:id="27"/>
            <w:r>
              <w:rPr>
                <w:rFonts w:hint="eastAsia" w:ascii="仿宋" w:hAnsi="仿宋" w:eastAsia="仿宋" w:cs="仿宋_GB2312"/>
                <w:szCs w:val="21"/>
              </w:rPr>
              <w:t>》第四十九条第二款</w:t>
            </w:r>
            <w:bookmarkEnd w:id="21"/>
            <w:bookmarkEnd w:id="22"/>
            <w:bookmarkEnd w:id="23"/>
            <w:r>
              <w:rPr>
                <w:rFonts w:hint="eastAsia" w:ascii="仿宋" w:hAnsi="仿宋" w:eastAsia="仿宋" w:cs="仿宋_GB2312"/>
                <w:szCs w:val="21"/>
              </w:rPr>
              <w:t>“</w:t>
            </w:r>
            <w:r>
              <w:rPr>
                <w:rFonts w:hint="eastAsia" w:ascii="仿宋" w:hAnsi="仿宋" w:eastAsia="仿宋"/>
                <w:szCs w:val="21"/>
                <w:shd w:val="clear" w:color="auto" w:fill="FFFFFF"/>
              </w:rPr>
              <w:t>任何单位和个人都应当依法在指定的地点分类投放生活垃圾。</w:t>
            </w:r>
            <w:bookmarkEnd w:id="24"/>
            <w:bookmarkEnd w:id="25"/>
            <w:r>
              <w:rPr>
                <w:rFonts w:hint="eastAsia" w:ascii="仿宋" w:hAnsi="仿宋" w:eastAsia="仿宋"/>
                <w:szCs w:val="21"/>
                <w:shd w:val="clear" w:color="auto" w:fill="FFFFFF"/>
              </w:rPr>
              <w:t>禁止随意倾倒、抛撒、堆放或者焚烧生活垃圾。</w:t>
            </w:r>
            <w:r>
              <w:rPr>
                <w:rFonts w:hint="eastAsia" w:ascii="仿宋" w:hAnsi="仿宋" w:eastAsia="仿宋" w:cs="仿宋_GB2312"/>
                <w:szCs w:val="21"/>
              </w:rPr>
              <w:t>”</w:t>
            </w:r>
          </w:p>
        </w:tc>
      </w:tr>
      <w:tr w14:paraId="148E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4DFEC9B7">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违法责任</w:t>
            </w:r>
          </w:p>
        </w:tc>
        <w:tc>
          <w:tcPr>
            <w:tcW w:w="5721" w:type="dxa"/>
            <w:vAlign w:val="center"/>
          </w:tcPr>
          <w:p w14:paraId="1C512949">
            <w:pPr>
              <w:jc w:val="center"/>
              <w:rPr>
                <w:rFonts w:ascii="仿宋_GB2312" w:hAnsi="仿宋_GB2312" w:eastAsia="仿宋_GB2312" w:cs="仿宋_GB2312"/>
                <w:szCs w:val="21"/>
                <w:lang w:val="en"/>
              </w:rPr>
            </w:pPr>
            <w:bookmarkStart w:id="28" w:name="OLE_LINK51"/>
            <w:r>
              <w:rPr>
                <w:rFonts w:hint="eastAsia" w:ascii="仿宋" w:hAnsi="仿宋" w:eastAsia="仿宋" w:cs="仿宋_GB2312"/>
                <w:szCs w:val="21"/>
              </w:rPr>
              <w:t>《中华人民共和国固体废物污染环境防治法》</w:t>
            </w:r>
            <w:bookmarkStart w:id="29" w:name="OLE_LINK128"/>
            <w:bookmarkStart w:id="30" w:name="OLE_LINK127"/>
            <w:r>
              <w:rPr>
                <w:rFonts w:hint="eastAsia" w:ascii="仿宋" w:hAnsi="仿宋" w:eastAsia="仿宋" w:cs="仿宋_GB2312"/>
                <w:szCs w:val="21"/>
              </w:rPr>
              <w:t>第一百一十一条第一款第一项</w:t>
            </w:r>
            <w:bookmarkEnd w:id="29"/>
            <w:bookmarkEnd w:id="30"/>
            <w:r>
              <w:rPr>
                <w:rFonts w:hint="eastAsia" w:ascii="仿宋" w:hAnsi="仿宋" w:eastAsia="仿宋" w:cs="仿宋_GB2312"/>
                <w:szCs w:val="21"/>
              </w:rPr>
              <w:t>“</w:t>
            </w:r>
            <w:bookmarkEnd w:id="28"/>
            <w:r>
              <w:rPr>
                <w:rFonts w:hint="eastAsia" w:ascii="仿宋" w:hAnsi="仿宋" w:eastAsia="仿宋" w:cs="仿宋_GB2312"/>
                <w:szCs w:val="21"/>
              </w:rPr>
              <w:t>违反本法规定，有下列行为之一，由</w:t>
            </w:r>
            <w:bookmarkStart w:id="31" w:name="OLE_LINK124"/>
            <w:bookmarkStart w:id="32" w:name="OLE_LINK125"/>
            <w:r>
              <w:rPr>
                <w:rFonts w:hint="eastAsia" w:ascii="仿宋" w:hAnsi="仿宋" w:eastAsia="仿宋" w:cs="仿宋_GB2312"/>
                <w:szCs w:val="21"/>
              </w:rPr>
              <w:t>县级以上地方人民政府环境卫生主管部门责令改正，处以罚款，没收违法所得:</w:t>
            </w:r>
            <w:bookmarkEnd w:id="31"/>
            <w:bookmarkEnd w:id="32"/>
            <w:r>
              <w:rPr>
                <w:rFonts w:hint="eastAsia" w:ascii="仿宋" w:hAnsi="仿宋" w:eastAsia="仿宋" w:cs="仿宋_GB2312"/>
                <w:szCs w:val="21"/>
              </w:rPr>
              <w:t>第(一)随意倾倒、抛撒、堆放或者焚烧生活垃圾的”、</w:t>
            </w:r>
            <w:bookmarkStart w:id="33" w:name="OLE_LINK129"/>
            <w:r>
              <w:rPr>
                <w:rFonts w:hint="eastAsia" w:ascii="仿宋" w:hAnsi="仿宋" w:eastAsia="仿宋" w:cs="仿宋_GB2312"/>
                <w:szCs w:val="21"/>
              </w:rPr>
              <w:t>第一百一十一条第二款</w:t>
            </w:r>
            <w:bookmarkEnd w:id="33"/>
            <w:r>
              <w:rPr>
                <w:rFonts w:hint="eastAsia" w:ascii="仿宋" w:hAnsi="仿宋" w:eastAsia="仿宋" w:cs="仿宋_GB2312"/>
                <w:szCs w:val="21"/>
              </w:rPr>
              <w:t>“</w:t>
            </w:r>
            <w:r>
              <w:rPr>
                <w:rFonts w:hint="eastAsia" w:ascii="仿宋" w:hAnsi="仿宋" w:eastAsia="仿宋" w:cs="宋体"/>
                <w:szCs w:val="21"/>
              </w:rPr>
              <w:t>单位有前款第一项、第七项行为之一，处五万元以上五十万元以下的罚款；单位有前款第二项、第三项、第四项、第五项、第六项行为之一，处十万元以上一百万元以下的罚款；个人有前款第一项、第五项、第七项行为之一，</w:t>
            </w:r>
            <w:bookmarkStart w:id="34" w:name="OLE_LINK26"/>
            <w:r>
              <w:rPr>
                <w:rFonts w:hint="eastAsia" w:ascii="仿宋" w:hAnsi="仿宋" w:eastAsia="仿宋" w:cs="宋体"/>
                <w:szCs w:val="21"/>
              </w:rPr>
              <w:t>处一百元以上五百元</w:t>
            </w:r>
            <w:bookmarkEnd w:id="34"/>
            <w:r>
              <w:rPr>
                <w:rFonts w:hint="eastAsia" w:ascii="仿宋" w:hAnsi="仿宋" w:eastAsia="仿宋" w:cs="宋体"/>
                <w:szCs w:val="21"/>
              </w:rPr>
              <w:t>以下的罚款。</w:t>
            </w:r>
            <w:r>
              <w:rPr>
                <w:rFonts w:hint="eastAsia" w:ascii="仿宋" w:hAnsi="仿宋" w:eastAsia="仿宋" w:cs="仿宋_GB2312"/>
                <w:szCs w:val="21"/>
              </w:rPr>
              <w:t>”</w:t>
            </w:r>
            <w:r>
              <w:rPr>
                <w:rFonts w:hint="eastAsia" w:ascii="仿宋" w:hAnsi="仿宋" w:eastAsia="仿宋" w:cs="仿宋"/>
                <w:szCs w:val="21"/>
              </w:rPr>
              <w:t>。</w:t>
            </w:r>
          </w:p>
        </w:tc>
      </w:tr>
      <w:tr w14:paraId="1CEA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CB9E45C">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合规建议</w:t>
            </w:r>
          </w:p>
        </w:tc>
        <w:tc>
          <w:tcPr>
            <w:tcW w:w="5721" w:type="dxa"/>
            <w:vAlign w:val="center"/>
          </w:tcPr>
          <w:p w14:paraId="760CE763">
            <w:pPr>
              <w:jc w:val="center"/>
              <w:rPr>
                <w:rFonts w:ascii="仿宋_GB2312" w:hAnsi="仿宋_GB2312" w:eastAsia="仿宋_GB2312" w:cs="仿宋_GB2312"/>
                <w:szCs w:val="21"/>
                <w:lang w:val="en"/>
              </w:rPr>
            </w:pPr>
            <w:r>
              <w:rPr>
                <w:rFonts w:hint="eastAsia" w:ascii="仿宋_GB2312" w:hAnsi="仿宋_GB2312" w:eastAsia="仿宋_GB2312" w:cs="仿宋_GB2312"/>
                <w:szCs w:val="21"/>
              </w:rPr>
              <w:t>依据</w:t>
            </w:r>
            <w:r>
              <w:rPr>
                <w:rFonts w:hint="eastAsia" w:ascii="仿宋" w:hAnsi="仿宋" w:eastAsia="仿宋" w:cs="仿宋_GB2312"/>
                <w:szCs w:val="21"/>
              </w:rPr>
              <w:t>《</w:t>
            </w:r>
            <w:r>
              <w:rPr>
                <w:rFonts w:hint="eastAsia" w:ascii="仿宋" w:hAnsi="仿宋" w:eastAsia="仿宋"/>
                <w:bCs/>
                <w:szCs w:val="21"/>
                <w:shd w:val="clear" w:color="auto" w:fill="FFFFFF"/>
              </w:rPr>
              <w:t>中华人民共和国固体废物污染环境防治法</w:t>
            </w:r>
            <w:r>
              <w:rPr>
                <w:rFonts w:hint="eastAsia" w:ascii="仿宋" w:hAnsi="仿宋" w:eastAsia="仿宋" w:cs="仿宋_GB2312"/>
                <w:szCs w:val="21"/>
              </w:rPr>
              <w:t>》第四十九条第二款的规定，</w:t>
            </w:r>
            <w:r>
              <w:rPr>
                <w:rFonts w:hint="eastAsia" w:ascii="仿宋" w:hAnsi="仿宋" w:eastAsia="仿宋"/>
                <w:szCs w:val="21"/>
                <w:shd w:val="clear" w:color="auto" w:fill="FFFFFF"/>
              </w:rPr>
              <w:t>应当依法在指定的地点分类投放生活垃圾。</w:t>
            </w:r>
          </w:p>
        </w:tc>
      </w:tr>
      <w:tr w14:paraId="67EF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72D579E3">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关联性政策规定</w:t>
            </w:r>
          </w:p>
        </w:tc>
        <w:tc>
          <w:tcPr>
            <w:tcW w:w="5721" w:type="dxa"/>
            <w:vAlign w:val="center"/>
          </w:tcPr>
          <w:p w14:paraId="5D0844F2">
            <w:pPr>
              <w:jc w:val="center"/>
              <w:rPr>
                <w:rFonts w:ascii="仿宋_GB2312" w:hAnsi="仿宋_GB2312" w:eastAsia="仿宋_GB2312" w:cs="仿宋_GB2312"/>
                <w:szCs w:val="21"/>
              </w:rPr>
            </w:pPr>
            <w:r>
              <w:rPr>
                <w:rFonts w:hint="eastAsia" w:ascii="仿宋" w:hAnsi="仿宋" w:eastAsia="仿宋" w:cs="仿宋_GB2312"/>
                <w:szCs w:val="21"/>
              </w:rPr>
              <w:t>《</w:t>
            </w:r>
            <w:r>
              <w:rPr>
                <w:rFonts w:hint="eastAsia" w:ascii="仿宋" w:hAnsi="仿宋" w:eastAsia="仿宋"/>
                <w:bCs/>
                <w:szCs w:val="21"/>
                <w:shd w:val="clear" w:color="auto" w:fill="FFFFFF"/>
              </w:rPr>
              <w:t>中华人民共和国固体废物污染环境防治法</w:t>
            </w:r>
            <w:r>
              <w:rPr>
                <w:rFonts w:hint="eastAsia" w:ascii="仿宋" w:hAnsi="仿宋" w:eastAsia="仿宋" w:cs="仿宋_GB2312"/>
                <w:szCs w:val="21"/>
              </w:rPr>
              <w:t>》第四十九条第二款、第一百一十一条第一款第一项及第一百一十一条第二款</w:t>
            </w:r>
            <w:r>
              <w:rPr>
                <w:rFonts w:hint="eastAsia" w:ascii="仿宋_GB2312" w:hAnsi="仿宋_GB2312" w:eastAsia="仿宋_GB2312" w:cs="仿宋_GB2312"/>
                <w:szCs w:val="21"/>
              </w:rPr>
              <w:t>。</w:t>
            </w:r>
          </w:p>
        </w:tc>
      </w:tr>
      <w:tr w14:paraId="4176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3259" w:type="dxa"/>
            <w:vAlign w:val="center"/>
          </w:tcPr>
          <w:p w14:paraId="03D0C714">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其他政策建议</w:t>
            </w:r>
          </w:p>
        </w:tc>
        <w:tc>
          <w:tcPr>
            <w:tcW w:w="5721" w:type="dxa"/>
            <w:vAlign w:val="center"/>
          </w:tcPr>
          <w:p w14:paraId="6E9EC9A0">
            <w:pPr>
              <w:jc w:val="center"/>
              <w:rPr>
                <w:rFonts w:ascii="仿宋_GB2312" w:hAnsi="仿宋_GB2312" w:eastAsia="仿宋_GB2312" w:cs="仿宋_GB2312"/>
                <w:szCs w:val="21"/>
              </w:rPr>
            </w:pPr>
            <w:r>
              <w:rPr>
                <w:rFonts w:hint="eastAsia" w:ascii="仿宋_GB2312" w:hAnsi="仿宋_GB2312" w:eastAsia="仿宋_GB2312" w:cs="仿宋_GB2312"/>
                <w:szCs w:val="21"/>
              </w:rPr>
              <w:t>无</w:t>
            </w:r>
          </w:p>
        </w:tc>
      </w:tr>
    </w:tbl>
    <w:p w14:paraId="74129502">
      <w:pPr>
        <w:pStyle w:val="8"/>
        <w:widowControl/>
        <w:spacing w:before="0" w:beforeAutospacing="0" w:after="0" w:afterAutospacing="0"/>
        <w:jc w:val="center"/>
        <w:rPr>
          <w:rFonts w:ascii="黑体" w:hAnsi="黑体" w:eastAsia="黑体"/>
          <w:sz w:val="44"/>
          <w:szCs w:val="44"/>
        </w:rPr>
      </w:pPr>
    </w:p>
    <w:p w14:paraId="6E1C2D26">
      <w:pPr>
        <w:pStyle w:val="8"/>
        <w:widowControl/>
        <w:spacing w:before="0" w:beforeAutospacing="0" w:after="0" w:afterAutospacing="0"/>
        <w:jc w:val="center"/>
        <w:rPr>
          <w:rFonts w:ascii="黑体" w:hAnsi="黑体" w:eastAsia="黑体"/>
          <w:sz w:val="44"/>
          <w:szCs w:val="44"/>
        </w:rPr>
      </w:pPr>
      <w:r>
        <w:rPr>
          <w:rFonts w:ascii="黑体" w:hAnsi="黑体" w:eastAsia="黑体"/>
          <w:sz w:val="44"/>
          <w:szCs w:val="44"/>
        </w:rPr>
        <w:t>企业合规经营政策指导建议书</w:t>
      </w:r>
    </w:p>
    <w:p w14:paraId="2A2CF3DE">
      <w:pPr>
        <w:pStyle w:val="8"/>
        <w:widowControl/>
        <w:spacing w:before="0" w:beforeAutospacing="0" w:after="0" w:afterAutospacing="0"/>
        <w:jc w:val="center"/>
        <w:rPr>
          <w:rFonts w:ascii="Times New Roman" w:hAnsi="Times New Roman" w:eastAsia="方正小标宋简体"/>
          <w:sz w:val="44"/>
          <w:szCs w:val="44"/>
        </w:rPr>
      </w:pP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9"/>
        <w:gridCol w:w="5721"/>
      </w:tblGrid>
      <w:tr w14:paraId="1A34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C21E656">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执法事项名称</w:t>
            </w:r>
          </w:p>
        </w:tc>
        <w:tc>
          <w:tcPr>
            <w:tcW w:w="5721" w:type="dxa"/>
            <w:vAlign w:val="center"/>
          </w:tcPr>
          <w:p w14:paraId="7423A807">
            <w:pPr>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依法应当进行消防验收的建设工程,未经消防验收或者消防验收不合格,擅自投入使用</w:t>
            </w:r>
          </w:p>
        </w:tc>
      </w:tr>
      <w:tr w14:paraId="095C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5971B130">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违法风险点</w:t>
            </w:r>
          </w:p>
        </w:tc>
        <w:tc>
          <w:tcPr>
            <w:tcW w:w="5721" w:type="dxa"/>
            <w:vAlign w:val="center"/>
          </w:tcPr>
          <w:p w14:paraId="05FDF4F5">
            <w:pPr>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未经消防验收或者消防验收不合格,擅自投入使用违反了</w:t>
            </w:r>
            <w:r>
              <w:rPr>
                <w:rFonts w:hint="eastAsia" w:ascii="仿宋_GB2312" w:hAnsi="仿宋_GB2312" w:eastAsia="仿宋_GB2312" w:cs="仿宋_GB2312"/>
                <w:color w:val="auto"/>
                <w:sz w:val="24"/>
                <w:szCs w:val="24"/>
                <w:lang w:val="en"/>
              </w:rPr>
              <w:t>《中华人民共和国消防法》</w:t>
            </w:r>
            <w:r>
              <w:rPr>
                <w:rFonts w:hint="eastAsia" w:ascii="仿宋_GB2312" w:hAnsi="仿宋_GB2312" w:eastAsia="仿宋_GB2312" w:cs="仿宋_GB2312"/>
                <w:color w:val="auto"/>
                <w:sz w:val="24"/>
                <w:szCs w:val="24"/>
              </w:rPr>
              <w:t>的规定，住房和城乡建设主管部门、消防救援机构按照各自职权责令停止施工、停止使用或者停产停业,并处</w:t>
            </w:r>
            <w:r>
              <w:rPr>
                <w:rFonts w:hint="eastAsia" w:ascii="仿宋_GB2312" w:hAnsi="仿宋_GB2312" w:eastAsia="仿宋_GB2312" w:cs="仿宋_GB2312"/>
                <w:color w:val="auto"/>
                <w:sz w:val="24"/>
                <w:szCs w:val="24"/>
                <w:lang w:eastAsia="zh-CN"/>
              </w:rPr>
              <w:t>罚款</w:t>
            </w:r>
            <w:r>
              <w:rPr>
                <w:rFonts w:hint="eastAsia" w:ascii="仿宋_GB2312" w:hAnsi="仿宋_GB2312" w:eastAsia="仿宋_GB2312" w:cs="仿宋_GB2312"/>
                <w:color w:val="auto"/>
                <w:sz w:val="24"/>
                <w:szCs w:val="24"/>
              </w:rPr>
              <w:t>。</w:t>
            </w:r>
          </w:p>
        </w:tc>
      </w:tr>
      <w:tr w14:paraId="2D23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3259" w:type="dxa"/>
            <w:vAlign w:val="center"/>
          </w:tcPr>
          <w:p w14:paraId="24DD8B46">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常见违法行为表现</w:t>
            </w:r>
          </w:p>
        </w:tc>
        <w:tc>
          <w:tcPr>
            <w:tcW w:w="5721" w:type="dxa"/>
            <w:vAlign w:val="center"/>
          </w:tcPr>
          <w:p w14:paraId="3A0DB694">
            <w:pPr>
              <w:jc w:val="left"/>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未办理消防验收投入使用或者消防验收不合格不停止使用</w:t>
            </w:r>
          </w:p>
        </w:tc>
      </w:tr>
      <w:tr w14:paraId="0136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DB7E320">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法律法规依据</w:t>
            </w:r>
          </w:p>
        </w:tc>
        <w:tc>
          <w:tcPr>
            <w:tcW w:w="5721" w:type="dxa"/>
            <w:vAlign w:val="center"/>
          </w:tcPr>
          <w:p w14:paraId="5314439F">
            <w:pPr>
              <w:jc w:val="left"/>
              <w:rPr>
                <w:rFonts w:hint="eastAsia" w:ascii="仿宋_GB2312" w:hAnsi="仿宋_GB2312" w:eastAsia="仿宋_GB2312" w:cs="仿宋_GB2312"/>
                <w:color w:val="auto"/>
                <w:sz w:val="24"/>
                <w:szCs w:val="24"/>
                <w:lang w:val="en"/>
              </w:rPr>
            </w:pPr>
            <w:r>
              <w:rPr>
                <w:rFonts w:hint="eastAsia" w:ascii="仿宋_GB2312" w:hAnsi="仿宋_GB2312" w:eastAsia="仿宋_GB2312" w:cs="仿宋_GB2312"/>
                <w:color w:val="auto"/>
                <w:sz w:val="24"/>
                <w:szCs w:val="24"/>
                <w:lang w:val="en"/>
              </w:rPr>
              <w:t>《中华人民共和国消防法》</w:t>
            </w:r>
          </w:p>
          <w:p w14:paraId="5B9B7D03">
            <w:pPr>
              <w:jc w:val="left"/>
              <w:rPr>
                <w:rFonts w:hint="eastAsia" w:ascii="仿宋_GB2312" w:hAnsi="仿宋_GB2312" w:eastAsia="仿宋_GB2312" w:cs="仿宋_GB2312"/>
                <w:color w:val="auto"/>
                <w:sz w:val="24"/>
                <w:szCs w:val="24"/>
                <w:lang w:val="en"/>
              </w:rPr>
            </w:pPr>
            <w:r>
              <w:rPr>
                <w:rFonts w:hint="eastAsia" w:ascii="仿宋_GB2312" w:hAnsi="仿宋_GB2312" w:eastAsia="仿宋_GB2312" w:cs="仿宋_GB2312"/>
                <w:color w:val="auto"/>
                <w:sz w:val="24"/>
                <w:szCs w:val="24"/>
                <w:lang w:val="en"/>
              </w:rPr>
              <w:t>第十三条第三款 依法应当进行消防验收的建设工程,未经消防验收或者消防验收不合格的,禁止投入使用;其他建设工程经依法抽查不合格的,应</w:t>
            </w:r>
          </w:p>
          <w:p w14:paraId="028FF515">
            <w:pPr>
              <w:jc w:val="left"/>
              <w:rPr>
                <w:rFonts w:ascii="仿宋_GB2312" w:hAnsi="仿宋_GB2312" w:eastAsia="仿宋_GB2312" w:cs="仿宋_GB2312"/>
                <w:color w:val="auto"/>
                <w:sz w:val="24"/>
                <w:szCs w:val="24"/>
                <w:lang w:val="en"/>
              </w:rPr>
            </w:pPr>
            <w:r>
              <w:rPr>
                <w:rFonts w:hint="eastAsia" w:ascii="仿宋_GB2312" w:hAnsi="仿宋_GB2312" w:eastAsia="仿宋_GB2312" w:cs="仿宋_GB2312"/>
                <w:color w:val="auto"/>
                <w:sz w:val="24"/>
                <w:szCs w:val="24"/>
                <w:lang w:val="en"/>
              </w:rPr>
              <w:t>当停止使用。</w:t>
            </w:r>
          </w:p>
        </w:tc>
      </w:tr>
      <w:tr w14:paraId="3094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0FA810BE">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违法责任</w:t>
            </w:r>
          </w:p>
        </w:tc>
        <w:tc>
          <w:tcPr>
            <w:tcW w:w="5721" w:type="dxa"/>
            <w:vAlign w:val="center"/>
          </w:tcPr>
          <w:p w14:paraId="284B9C63">
            <w:pPr>
              <w:jc w:val="left"/>
              <w:rPr>
                <w:rFonts w:hint="eastAsia" w:ascii="仿宋_GB2312" w:hAnsi="仿宋_GB2312" w:eastAsia="仿宋_GB2312" w:cs="仿宋_GB2312"/>
                <w:color w:val="auto"/>
                <w:sz w:val="24"/>
                <w:szCs w:val="24"/>
                <w:lang w:val="en"/>
              </w:rPr>
            </w:pPr>
            <w:r>
              <w:rPr>
                <w:rFonts w:hint="eastAsia" w:ascii="仿宋_GB2312" w:hAnsi="仿宋_GB2312" w:eastAsia="仿宋_GB2312" w:cs="仿宋_GB2312"/>
                <w:color w:val="auto"/>
                <w:sz w:val="24"/>
                <w:szCs w:val="24"/>
                <w:lang w:val="en"/>
              </w:rPr>
              <w:t>《中华人民共和国消防法》</w:t>
            </w:r>
          </w:p>
          <w:p w14:paraId="38DD062B">
            <w:pPr>
              <w:jc w:val="left"/>
              <w:rPr>
                <w:rFonts w:ascii="仿宋_GB2312" w:hAnsi="仿宋_GB2312" w:eastAsia="仿宋_GB2312" w:cs="仿宋_GB2312"/>
                <w:color w:val="auto"/>
                <w:sz w:val="24"/>
                <w:szCs w:val="24"/>
                <w:lang w:val="en"/>
              </w:rPr>
            </w:pPr>
            <w:r>
              <w:rPr>
                <w:rFonts w:hint="eastAsia" w:ascii="仿宋_GB2312" w:hAnsi="仿宋_GB2312" w:eastAsia="仿宋_GB2312" w:cs="仿宋_GB2312"/>
                <w:color w:val="auto"/>
                <w:sz w:val="24"/>
                <w:szCs w:val="24"/>
                <w:lang w:val="en"/>
              </w:rPr>
              <w:t>第五十八条第一款第二项 违反本法规定,有下列行为之一的,由住房和城乡建设主管部门、消防救援机构按照各自职权责令停止施工、停止使用或者停产停业,并处三万元以上三十万元以下罚款</w:t>
            </w:r>
            <w:r>
              <w:rPr>
                <w:rFonts w:hint="eastAsia" w:ascii="仿宋_GB2312" w:hAnsi="仿宋_GB2312" w:eastAsia="仿宋_GB2312" w:cs="仿宋_GB2312"/>
                <w:color w:val="auto"/>
                <w:sz w:val="24"/>
                <w:szCs w:val="24"/>
                <w:lang w:val="en" w:eastAsia="zh-CN"/>
              </w:rPr>
              <w:t>，</w:t>
            </w:r>
            <w:r>
              <w:rPr>
                <w:rFonts w:hint="eastAsia" w:ascii="仿宋_GB2312" w:hAnsi="仿宋_GB2312" w:eastAsia="仿宋_GB2312" w:cs="仿宋_GB2312"/>
                <w:color w:val="auto"/>
                <w:sz w:val="24"/>
                <w:szCs w:val="24"/>
                <w:lang w:val="en"/>
              </w:rPr>
              <w:t>(二)依法应当进行消防验收的建设工程,未经消防验收或者消防验收不合格,擅自投入使用的。</w:t>
            </w:r>
          </w:p>
        </w:tc>
      </w:tr>
      <w:tr w14:paraId="2362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1D99856">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合规建议</w:t>
            </w:r>
          </w:p>
        </w:tc>
        <w:tc>
          <w:tcPr>
            <w:tcW w:w="5721" w:type="dxa"/>
            <w:vAlign w:val="center"/>
          </w:tcPr>
          <w:p w14:paraId="45E590A9">
            <w:pPr>
              <w:jc w:val="left"/>
              <w:rPr>
                <w:rFonts w:hint="eastAsia" w:ascii="仿宋_GB2312" w:hAnsi="仿宋_GB2312" w:eastAsia="仿宋_GB2312" w:cs="仿宋_GB2312"/>
                <w:color w:val="auto"/>
                <w:sz w:val="24"/>
                <w:szCs w:val="24"/>
                <w:lang w:val="en" w:eastAsia="zh-CN"/>
              </w:rPr>
            </w:pPr>
            <w:r>
              <w:rPr>
                <w:rFonts w:hint="eastAsia" w:ascii="仿宋_GB2312" w:hAnsi="仿宋_GB2312" w:eastAsia="仿宋_GB2312" w:cs="仿宋_GB2312"/>
                <w:color w:val="auto"/>
                <w:sz w:val="24"/>
                <w:szCs w:val="24"/>
              </w:rPr>
              <w:t>依据</w:t>
            </w:r>
            <w:r>
              <w:rPr>
                <w:rFonts w:hint="eastAsia" w:ascii="仿宋_GB2312" w:hAnsi="仿宋_GB2312" w:eastAsia="仿宋_GB2312" w:cs="仿宋_GB2312"/>
                <w:color w:val="auto"/>
                <w:sz w:val="24"/>
                <w:szCs w:val="24"/>
                <w:lang w:val="en"/>
              </w:rPr>
              <w:t>《中华人民共和国消防法》</w:t>
            </w:r>
            <w:r>
              <w:rPr>
                <w:rFonts w:hint="eastAsia" w:ascii="仿宋_GB2312" w:hAnsi="仿宋" w:eastAsia="仿宋_GB2312" w:cs="仿宋"/>
                <w:color w:val="auto"/>
                <w:sz w:val="24"/>
                <w:szCs w:val="24"/>
              </w:rPr>
              <w:t>第十三条</w:t>
            </w:r>
            <w:r>
              <w:rPr>
                <w:rFonts w:hint="eastAsia" w:ascii="仿宋_GB2312" w:hAnsi="仿宋" w:eastAsia="仿宋_GB2312" w:cs="仿宋"/>
                <w:color w:val="auto"/>
                <w:sz w:val="24"/>
                <w:szCs w:val="24"/>
                <w:lang w:eastAsia="zh-CN"/>
              </w:rPr>
              <w:t>第一款、</w:t>
            </w:r>
            <w:r>
              <w:rPr>
                <w:rFonts w:hint="eastAsia" w:ascii="仿宋_GB2312" w:hAnsi="仿宋" w:eastAsia="仿宋_GB2312" w:cs="仿宋"/>
                <w:color w:val="auto"/>
                <w:sz w:val="24"/>
                <w:szCs w:val="24"/>
              </w:rPr>
              <w:t>第三款，</w:t>
            </w:r>
            <w:r>
              <w:rPr>
                <w:rFonts w:hint="eastAsia" w:ascii="仿宋_GB2312" w:hAnsi="仿宋_GB2312" w:eastAsia="仿宋_GB2312" w:cs="仿宋_GB2312"/>
                <w:color w:val="auto"/>
                <w:sz w:val="24"/>
                <w:szCs w:val="24"/>
              </w:rPr>
              <w:t>应当</w:t>
            </w:r>
            <w:r>
              <w:rPr>
                <w:rFonts w:hint="eastAsia" w:ascii="仿宋_GB2312" w:hAnsi="仿宋" w:eastAsia="仿宋_GB2312"/>
                <w:color w:val="auto"/>
                <w:sz w:val="24"/>
                <w:szCs w:val="24"/>
                <w:shd w:val="clear" w:color="auto" w:fill="FFFFFF"/>
              </w:rPr>
              <w:t>及时</w:t>
            </w:r>
            <w:r>
              <w:rPr>
                <w:rFonts w:hint="eastAsia" w:ascii="仿宋_GB2312" w:hAnsi="仿宋" w:eastAsia="仿宋_GB2312"/>
                <w:color w:val="auto"/>
                <w:sz w:val="24"/>
                <w:szCs w:val="24"/>
                <w:shd w:val="clear" w:color="auto" w:fill="FFFFFF"/>
                <w:lang w:eastAsia="zh-CN"/>
              </w:rPr>
              <w:t>申报消防验收或者</w:t>
            </w:r>
            <w:r>
              <w:rPr>
                <w:rFonts w:hint="eastAsia" w:ascii="仿宋_GB2312" w:hAnsi="仿宋" w:eastAsia="仿宋_GB2312" w:cs="仿宋"/>
                <w:color w:val="auto"/>
                <w:sz w:val="24"/>
                <w:szCs w:val="24"/>
              </w:rPr>
              <w:t>未经消防验收或者消防验收不合格的,禁止投入使用</w:t>
            </w:r>
            <w:r>
              <w:rPr>
                <w:rFonts w:hint="eastAsia" w:ascii="仿宋_GB2312" w:hAnsi="仿宋" w:eastAsia="仿宋_GB2312" w:cs="仿宋"/>
                <w:color w:val="auto"/>
                <w:sz w:val="24"/>
                <w:szCs w:val="24"/>
                <w:lang w:eastAsia="zh-CN"/>
              </w:rPr>
              <w:t>。</w:t>
            </w:r>
          </w:p>
        </w:tc>
      </w:tr>
      <w:tr w14:paraId="1123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9B210E7">
            <w:pPr>
              <w:jc w:val="center"/>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sz w:val="32"/>
                <w:szCs w:val="32"/>
                <w:lang w:val="en"/>
              </w:rPr>
              <w:t>关联性政策规定</w:t>
            </w:r>
          </w:p>
        </w:tc>
        <w:tc>
          <w:tcPr>
            <w:tcW w:w="5721" w:type="dxa"/>
            <w:vAlign w:val="center"/>
          </w:tcPr>
          <w:p w14:paraId="358799FF">
            <w:pPr>
              <w:jc w:val="left"/>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
              </w:rPr>
              <w:t>《中华人民共和国消防法》第十三条</w:t>
            </w:r>
            <w:r>
              <w:rPr>
                <w:rFonts w:hint="eastAsia" w:ascii="仿宋_GB2312" w:hAnsi="仿宋_GB2312" w:eastAsia="仿宋_GB2312" w:cs="仿宋_GB2312"/>
                <w:color w:val="auto"/>
                <w:sz w:val="24"/>
                <w:szCs w:val="24"/>
                <w:lang w:val="en" w:eastAsia="zh-CN"/>
              </w:rPr>
              <w:t>、第五十八条</w:t>
            </w:r>
          </w:p>
        </w:tc>
      </w:tr>
      <w:tr w14:paraId="51F4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86EBA0D">
            <w:pPr>
              <w:jc w:val="center"/>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其他政策建议</w:t>
            </w:r>
          </w:p>
        </w:tc>
        <w:tc>
          <w:tcPr>
            <w:tcW w:w="5721" w:type="dxa"/>
            <w:vAlign w:val="center"/>
          </w:tcPr>
          <w:p w14:paraId="2C57D0D0">
            <w:pPr>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无</w:t>
            </w:r>
          </w:p>
        </w:tc>
      </w:tr>
    </w:tbl>
    <w:p w14:paraId="265D933D">
      <w:pPr>
        <w:pStyle w:val="8"/>
        <w:widowControl/>
        <w:spacing w:before="0" w:beforeAutospacing="0" w:after="0" w:afterAutospacing="0"/>
        <w:jc w:val="center"/>
        <w:rPr>
          <w:rFonts w:ascii="黑体" w:hAnsi="黑体" w:eastAsia="黑体"/>
          <w:sz w:val="44"/>
          <w:szCs w:val="44"/>
        </w:rPr>
      </w:pPr>
    </w:p>
    <w:p w14:paraId="48DECCC1">
      <w:pPr>
        <w:pStyle w:val="8"/>
        <w:widowControl/>
        <w:spacing w:before="0" w:beforeAutospacing="0" w:after="0" w:afterAutospacing="0"/>
        <w:jc w:val="center"/>
        <w:rPr>
          <w:rFonts w:ascii="黑体" w:hAnsi="黑体" w:eastAsia="黑体"/>
          <w:sz w:val="44"/>
          <w:szCs w:val="44"/>
        </w:rPr>
      </w:pPr>
      <w:r>
        <w:rPr>
          <w:rFonts w:ascii="黑体" w:hAnsi="黑体" w:eastAsia="黑体"/>
          <w:sz w:val="44"/>
          <w:szCs w:val="44"/>
        </w:rPr>
        <w:t>企业合规经营政策指导建议书</w:t>
      </w: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9"/>
        <w:gridCol w:w="5721"/>
      </w:tblGrid>
      <w:tr w14:paraId="27A2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B53B0F2">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执法事项名称</w:t>
            </w:r>
          </w:p>
        </w:tc>
        <w:tc>
          <w:tcPr>
            <w:tcW w:w="5721" w:type="dxa"/>
            <w:vAlign w:val="center"/>
          </w:tcPr>
          <w:p w14:paraId="65BBCBCB">
            <w:pPr>
              <w:jc w:val="center"/>
              <w:rPr>
                <w:rFonts w:hint="default" w:ascii="仿宋_GB2312" w:hAnsi="仿宋_GB2312" w:eastAsia="仿宋_GB2312" w:cs="仿宋_GB2312"/>
                <w:szCs w:val="21"/>
                <w:lang w:val="en-US"/>
              </w:rPr>
            </w:pPr>
            <w:r>
              <w:rPr>
                <w:rFonts w:hint="eastAsia" w:ascii="仿宋_GB2312" w:hAnsi="仿宋_GB2312" w:eastAsia="仿宋_GB2312" w:cs="仿宋_GB2312"/>
                <w:color w:val="auto"/>
                <w:sz w:val="32"/>
                <w:szCs w:val="32"/>
                <w:highlight w:val="none"/>
                <w:u w:val="none"/>
                <w:lang w:val="en-US" w:eastAsia="zh-CN"/>
              </w:rPr>
              <w:t>串通投标的处罚</w:t>
            </w:r>
          </w:p>
        </w:tc>
      </w:tr>
      <w:tr w14:paraId="0576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25DBE9C9">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违法风险点</w:t>
            </w:r>
          </w:p>
        </w:tc>
        <w:tc>
          <w:tcPr>
            <w:tcW w:w="5721" w:type="dxa"/>
            <w:vAlign w:val="center"/>
          </w:tcPr>
          <w:p w14:paraId="08F93CFF">
            <w:pPr>
              <w:jc w:val="left"/>
              <w:rPr>
                <w:rFonts w:ascii="仿宋_GB2312" w:hAnsi="仿宋_GB2312" w:eastAsia="仿宋_GB2312" w:cs="仿宋_GB2312"/>
                <w:szCs w:val="21"/>
              </w:rPr>
            </w:pPr>
            <w:r>
              <w:rPr>
                <w:rFonts w:hint="eastAsia" w:ascii="仿宋_GB2312" w:hAnsi="仿宋_GB2312" w:eastAsia="仿宋_GB2312" w:cs="仿宋_GB2312"/>
                <w:szCs w:val="21"/>
              </w:rPr>
              <w:t>《中华人民共和国招标投标法》第三十二条“投标人不得相互串通投标报价”和《中华人民共和国招标投标法实施条例》第四十条“有下列情形之一的，视为投标人相互串通投标：(一)不同投标人的投标文件由同一单位或者个人编制......”的规定</w:t>
            </w:r>
          </w:p>
        </w:tc>
      </w:tr>
      <w:tr w14:paraId="06D8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3D9F718E">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常见违法行为表现</w:t>
            </w:r>
          </w:p>
        </w:tc>
        <w:tc>
          <w:tcPr>
            <w:tcW w:w="5721" w:type="dxa"/>
            <w:vAlign w:val="center"/>
          </w:tcPr>
          <w:p w14:paraId="22185CA4">
            <w:pPr>
              <w:jc w:val="center"/>
              <w:rPr>
                <w:rFonts w:ascii="仿宋_GB2312" w:hAnsi="仿宋_GB2312" w:eastAsia="仿宋_GB2312" w:cs="仿宋_GB2312"/>
                <w:szCs w:val="21"/>
              </w:rPr>
            </w:pPr>
            <w:r>
              <w:rPr>
                <w:rFonts w:hint="eastAsia" w:ascii="仿宋_GB2312" w:hAnsi="仿宋_GB2312" w:eastAsia="仿宋_GB2312" w:cs="仿宋_GB2312"/>
                <w:color w:val="auto"/>
                <w:sz w:val="32"/>
                <w:szCs w:val="32"/>
                <w:highlight w:val="none"/>
                <w:u w:val="none"/>
                <w:lang w:val="en-US" w:eastAsia="zh-CN"/>
              </w:rPr>
              <w:t>串通投标的行为</w:t>
            </w:r>
          </w:p>
        </w:tc>
      </w:tr>
      <w:tr w14:paraId="4B6F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34614C41">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法律法规依据</w:t>
            </w:r>
          </w:p>
        </w:tc>
        <w:tc>
          <w:tcPr>
            <w:tcW w:w="5721" w:type="dxa"/>
            <w:vAlign w:val="center"/>
          </w:tcPr>
          <w:p w14:paraId="396A6377">
            <w:pPr>
              <w:jc w:val="left"/>
              <w:rPr>
                <w:rFonts w:ascii="仿宋_GB2312" w:hAnsi="仿宋_GB2312" w:eastAsia="仿宋_GB2312" w:cs="仿宋_GB2312"/>
                <w:szCs w:val="21"/>
                <w:lang w:val="en"/>
              </w:rPr>
            </w:pPr>
            <w:r>
              <w:rPr>
                <w:rFonts w:hint="eastAsia" w:ascii="仿宋_GB2312" w:hAnsi="仿宋_GB2312" w:eastAsia="仿宋_GB2312" w:cs="仿宋_GB2312"/>
                <w:szCs w:val="21"/>
              </w:rPr>
              <w:t>《中华人民共和国招标投标法》第三十二条“投标人不得相互串通投标报价”和《中华人民共和国招标投标法实施条例》第四十条“有下列情形之一的，视为投标人相互串通投标：(一)不同投标人的投标文件由同一单位或者个人编制......”的规定</w:t>
            </w:r>
            <w:r>
              <w:rPr>
                <w:rFonts w:hint="eastAsia" w:ascii="仿宋" w:hAnsi="仿宋" w:eastAsia="仿宋" w:cs="仿宋_GB2312"/>
                <w:szCs w:val="21"/>
              </w:rPr>
              <w:t>”</w:t>
            </w:r>
          </w:p>
        </w:tc>
      </w:tr>
      <w:tr w14:paraId="7FE7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788CFC26">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违法责任</w:t>
            </w:r>
          </w:p>
        </w:tc>
        <w:tc>
          <w:tcPr>
            <w:tcW w:w="5721" w:type="dxa"/>
            <w:vAlign w:val="center"/>
          </w:tcPr>
          <w:p w14:paraId="2D9B39E8">
            <w:pPr>
              <w:jc w:val="left"/>
              <w:rPr>
                <w:rFonts w:ascii="仿宋_GB2312" w:hAnsi="仿宋_GB2312" w:eastAsia="仿宋_GB2312" w:cs="仿宋_GB2312"/>
                <w:szCs w:val="21"/>
                <w:lang w:val="en"/>
              </w:rPr>
            </w:pPr>
            <w:r>
              <w:rPr>
                <w:rFonts w:hint="eastAsia" w:ascii="仿宋" w:hAnsi="仿宋" w:eastAsia="仿宋" w:cs="仿宋_GB2312"/>
                <w:szCs w:val="21"/>
              </w:rPr>
              <w:t>《中华人民共和国招标投标法》第五十三条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p>
        </w:tc>
      </w:tr>
      <w:tr w14:paraId="26CE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14F64177">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合规建议</w:t>
            </w:r>
          </w:p>
        </w:tc>
        <w:tc>
          <w:tcPr>
            <w:tcW w:w="5721" w:type="dxa"/>
            <w:vAlign w:val="center"/>
          </w:tcPr>
          <w:p w14:paraId="35AD364B">
            <w:pPr>
              <w:jc w:val="left"/>
              <w:rPr>
                <w:rFonts w:ascii="仿宋_GB2312" w:hAnsi="仿宋_GB2312" w:eastAsia="仿宋_GB2312" w:cs="仿宋_GB2312"/>
                <w:szCs w:val="21"/>
                <w:lang w:val="en"/>
              </w:rPr>
            </w:pPr>
            <w:r>
              <w:rPr>
                <w:rFonts w:hint="eastAsia" w:ascii="仿宋_GB2312" w:hAnsi="仿宋_GB2312" w:eastAsia="仿宋_GB2312" w:cs="仿宋_GB2312"/>
                <w:szCs w:val="21"/>
              </w:rPr>
              <w:t>依据</w:t>
            </w:r>
            <w:r>
              <w:rPr>
                <w:rFonts w:hint="eastAsia" w:ascii="仿宋" w:hAnsi="仿宋" w:eastAsia="仿宋" w:cs="仿宋_GB2312"/>
                <w:szCs w:val="21"/>
              </w:rPr>
              <w:t>《中华人民共和国招标投标法》</w:t>
            </w:r>
            <w:r>
              <w:rPr>
                <w:rFonts w:hint="eastAsia" w:ascii="仿宋_GB2312" w:hAnsi="仿宋_GB2312" w:eastAsia="仿宋_GB2312" w:cs="仿宋_GB2312"/>
                <w:szCs w:val="21"/>
              </w:rPr>
              <w:t>三十二条</w:t>
            </w:r>
            <w:r>
              <w:rPr>
                <w:rFonts w:hint="eastAsia" w:ascii="仿宋" w:hAnsi="仿宋" w:eastAsia="仿宋" w:cs="仿宋_GB2312"/>
                <w:szCs w:val="21"/>
              </w:rPr>
              <w:t>的规定，第三十二条　投标人不得相互串通投标报价，不得排挤其他投标人的公平竞争，损害招标人或者其他投标人的合法权益。</w:t>
            </w:r>
          </w:p>
        </w:tc>
      </w:tr>
      <w:tr w14:paraId="4776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259" w:type="dxa"/>
            <w:vAlign w:val="center"/>
          </w:tcPr>
          <w:p w14:paraId="68ED2CCF">
            <w:pPr>
              <w:jc w:val="center"/>
              <w:rPr>
                <w:rFonts w:ascii="Times New Roman" w:hAnsi="Times New Roman" w:eastAsia="仿宋_GB2312" w:cs="Times New Roman"/>
                <w:sz w:val="32"/>
                <w:szCs w:val="32"/>
                <w:lang w:val="en"/>
              </w:rPr>
            </w:pPr>
            <w:r>
              <w:rPr>
                <w:rFonts w:ascii="Times New Roman" w:hAnsi="Times New Roman" w:eastAsia="仿宋_GB2312" w:cs="Times New Roman"/>
                <w:sz w:val="32"/>
                <w:szCs w:val="32"/>
                <w:lang w:val="en"/>
              </w:rPr>
              <w:t>关联性政策规定</w:t>
            </w:r>
          </w:p>
        </w:tc>
        <w:tc>
          <w:tcPr>
            <w:tcW w:w="5721" w:type="dxa"/>
            <w:vAlign w:val="center"/>
          </w:tcPr>
          <w:p w14:paraId="426B61F9">
            <w:pPr>
              <w:jc w:val="center"/>
              <w:rPr>
                <w:rFonts w:ascii="仿宋_GB2312" w:hAnsi="仿宋_GB2312" w:eastAsia="仿宋_GB2312" w:cs="仿宋_GB2312"/>
                <w:szCs w:val="21"/>
              </w:rPr>
            </w:pPr>
            <w:r>
              <w:rPr>
                <w:rFonts w:hint="eastAsia" w:ascii="仿宋_GB2312" w:hAnsi="仿宋_GB2312" w:eastAsia="仿宋_GB2312" w:cs="仿宋_GB2312"/>
                <w:szCs w:val="21"/>
              </w:rPr>
              <w:t>依据</w:t>
            </w:r>
            <w:r>
              <w:rPr>
                <w:rFonts w:hint="eastAsia" w:ascii="仿宋" w:hAnsi="仿宋" w:eastAsia="仿宋" w:cs="仿宋_GB2312"/>
                <w:szCs w:val="21"/>
              </w:rPr>
              <w:t>《中华人民共和国招标投标法》</w:t>
            </w:r>
            <w:r>
              <w:rPr>
                <w:rFonts w:hint="eastAsia" w:ascii="仿宋_GB2312" w:hAnsi="仿宋_GB2312" w:eastAsia="仿宋_GB2312" w:cs="仿宋_GB2312"/>
                <w:szCs w:val="21"/>
              </w:rPr>
              <w:t>三十二条</w:t>
            </w:r>
            <w:r>
              <w:rPr>
                <w:rFonts w:hint="eastAsia" w:ascii="仿宋" w:hAnsi="仿宋" w:eastAsia="仿宋" w:cs="仿宋_GB2312"/>
                <w:szCs w:val="21"/>
              </w:rPr>
              <w:t>的规定，第三十二条　投标人不得相互串通投标报价，不得排挤其他投标人的公平竞争，损害招标人或者其他投标人的合法权益。</w:t>
            </w:r>
          </w:p>
        </w:tc>
      </w:tr>
      <w:tr w14:paraId="5768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3259" w:type="dxa"/>
            <w:vAlign w:val="center"/>
          </w:tcPr>
          <w:p w14:paraId="39325B30">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其他政策建议</w:t>
            </w:r>
          </w:p>
        </w:tc>
        <w:tc>
          <w:tcPr>
            <w:tcW w:w="5721" w:type="dxa"/>
            <w:vAlign w:val="center"/>
          </w:tcPr>
          <w:p w14:paraId="0553E300">
            <w:pPr>
              <w:jc w:val="center"/>
              <w:rPr>
                <w:rFonts w:ascii="仿宋_GB2312" w:hAnsi="仿宋_GB2312" w:eastAsia="仿宋_GB2312" w:cs="仿宋_GB2312"/>
                <w:szCs w:val="21"/>
              </w:rPr>
            </w:pPr>
            <w:r>
              <w:rPr>
                <w:rFonts w:hint="eastAsia" w:ascii="仿宋_GB2312" w:hAnsi="仿宋_GB2312" w:eastAsia="仿宋_GB2312" w:cs="仿宋_GB2312"/>
                <w:szCs w:val="21"/>
              </w:rPr>
              <w:t>无</w:t>
            </w:r>
          </w:p>
        </w:tc>
      </w:tr>
    </w:tbl>
    <w:p w14:paraId="2E7AA985">
      <w:pPr>
        <w:pStyle w:val="8"/>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企业合规经营政策指导建议书</w:t>
      </w:r>
    </w:p>
    <w:p w14:paraId="5598D62D">
      <w:pPr>
        <w:pStyle w:val="8"/>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sz w:val="44"/>
          <w:szCs w:val="44"/>
        </w:rPr>
      </w:pPr>
    </w:p>
    <w:tbl>
      <w:tblPr>
        <w:tblStyle w:val="11"/>
        <w:tblW w:w="10610" w:type="dxa"/>
        <w:tblInd w:w="-6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9337"/>
      </w:tblGrid>
      <w:tr w14:paraId="7554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3DE22BA0">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执法事项名称</w:t>
            </w:r>
          </w:p>
        </w:tc>
        <w:tc>
          <w:tcPr>
            <w:tcW w:w="9337" w:type="dxa"/>
            <w:noWrap w:val="0"/>
            <w:vAlign w:val="center"/>
          </w:tcPr>
          <w:p w14:paraId="424E9D98">
            <w:pPr>
              <w:jc w:val="center"/>
              <w:rPr>
                <w:rFonts w:hint="default" w:ascii="Times New Roman" w:hAnsi="Times New Roman" w:eastAsia="仿宋_GB2312" w:cs="Times New Roman"/>
                <w:sz w:val="30"/>
                <w:szCs w:val="30"/>
                <w:vertAlign w:val="baseline"/>
                <w:lang w:val="en-US" w:eastAsia="zh-CN"/>
              </w:rPr>
            </w:pPr>
            <w:r>
              <w:rPr>
                <w:rFonts w:hint="eastAsia" w:ascii="Times New Roman" w:hAnsi="Times New Roman" w:eastAsia="仿宋_GB2312" w:cs="Times New Roman"/>
                <w:sz w:val="30"/>
                <w:szCs w:val="30"/>
                <w:vertAlign w:val="baseline"/>
                <w:lang w:val="en" w:eastAsia="zh-CN"/>
              </w:rPr>
              <w:t>我单位未采取措施消除事故隐患案</w:t>
            </w:r>
          </w:p>
        </w:tc>
      </w:tr>
      <w:tr w14:paraId="014B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0002FEBE">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违法风险点</w:t>
            </w:r>
          </w:p>
        </w:tc>
        <w:tc>
          <w:tcPr>
            <w:tcW w:w="9337" w:type="dxa"/>
            <w:noWrap w:val="0"/>
            <w:vAlign w:val="center"/>
          </w:tcPr>
          <w:p w14:paraId="7928A36B">
            <w:pPr>
              <w:jc w:val="center"/>
              <w:rPr>
                <w:rFonts w:hint="default" w:ascii="Times New Roman" w:hAnsi="Times New Roman" w:eastAsia="仿宋_GB2312" w:cs="Times New Roman"/>
                <w:sz w:val="30"/>
                <w:szCs w:val="30"/>
                <w:vertAlign w:val="baseline"/>
                <w:lang w:val="en" w:eastAsia="zh-CN"/>
              </w:rPr>
            </w:pPr>
            <w:r>
              <w:rPr>
                <w:rFonts w:hint="eastAsia" w:ascii="Times New Roman" w:hAnsi="Times New Roman" w:eastAsia="仿宋_GB2312" w:cs="Times New Roman"/>
                <w:sz w:val="30"/>
                <w:szCs w:val="30"/>
                <w:vertAlign w:val="baseline"/>
                <w:lang w:val="en" w:eastAsia="zh-CN"/>
              </w:rPr>
              <w:t>群塔作业安装、使用严格按照群塔防碰撞方案实施</w:t>
            </w:r>
          </w:p>
        </w:tc>
      </w:tr>
      <w:tr w14:paraId="663F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434E6105">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常见违法行为表现</w:t>
            </w:r>
          </w:p>
        </w:tc>
        <w:tc>
          <w:tcPr>
            <w:tcW w:w="9337" w:type="dxa"/>
            <w:noWrap w:val="0"/>
            <w:vAlign w:val="center"/>
          </w:tcPr>
          <w:p w14:paraId="69A0C6C1">
            <w:pPr>
              <w:jc w:val="center"/>
              <w:rPr>
                <w:rFonts w:hint="default" w:ascii="Times New Roman" w:hAnsi="Times New Roman" w:eastAsia="仿宋_GB2312" w:cs="Times New Roman"/>
                <w:sz w:val="30"/>
                <w:szCs w:val="30"/>
                <w:vertAlign w:val="baseline"/>
                <w:lang w:val="en-US" w:eastAsia="zh-CN"/>
              </w:rPr>
            </w:pPr>
            <w:r>
              <w:rPr>
                <w:rFonts w:hint="eastAsia" w:ascii="Times New Roman" w:hAnsi="Times New Roman" w:eastAsia="仿宋_GB2312" w:cs="Times New Roman"/>
                <w:sz w:val="30"/>
                <w:szCs w:val="30"/>
                <w:vertAlign w:val="baseline"/>
                <w:lang w:val="en" w:eastAsia="zh-CN"/>
              </w:rPr>
              <w:t>群塔作业安全距离不足</w:t>
            </w:r>
            <w:r>
              <w:rPr>
                <w:rFonts w:hint="eastAsia" w:ascii="Times New Roman" w:hAnsi="Times New Roman" w:eastAsia="仿宋_GB2312" w:cs="Times New Roman"/>
                <w:sz w:val="30"/>
                <w:szCs w:val="30"/>
                <w:vertAlign w:val="baseline"/>
                <w:lang w:val="en-US" w:eastAsia="zh-CN"/>
              </w:rPr>
              <w:t>2m</w:t>
            </w:r>
          </w:p>
        </w:tc>
      </w:tr>
      <w:tr w14:paraId="0139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1D4B3BEC">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法律法规依据</w:t>
            </w:r>
          </w:p>
        </w:tc>
        <w:tc>
          <w:tcPr>
            <w:tcW w:w="9337" w:type="dxa"/>
            <w:noWrap w:val="0"/>
            <w:vAlign w:val="center"/>
          </w:tcPr>
          <w:p w14:paraId="1056F654">
            <w:pPr>
              <w:pStyle w:val="8"/>
              <w:spacing w:before="0" w:beforeAutospacing="0" w:after="300" w:afterAutospacing="0"/>
              <w:ind w:firstLine="600" w:firstLineChars="200"/>
              <w:rPr>
                <w:rFonts w:hint="eastAsia" w:ascii="Times New Roman" w:hAnsi="Times New Roman" w:eastAsia="仿宋_GB2312" w:cs="Times New Roman"/>
                <w:sz w:val="30"/>
                <w:szCs w:val="30"/>
                <w:lang w:val="en-US" w:eastAsia="zh-CN" w:bidi="zh-CN"/>
              </w:rPr>
            </w:pPr>
            <w:r>
              <w:rPr>
                <w:rFonts w:hint="eastAsia" w:ascii="Times New Roman" w:hAnsi="Times New Roman" w:eastAsia="仿宋_GB2312" w:cs="Times New Roman"/>
                <w:sz w:val="30"/>
                <w:szCs w:val="30"/>
                <w:lang w:val="en-US" w:eastAsia="zh-CN" w:bidi="zh-CN"/>
              </w:rPr>
              <w:t>中华人民共和国行业标准《建筑施工塔式起重机安装、使用、拆卸安全技术规程》（JGJ196-2010）2.0.14“当多台塔式起重机在同一施工现场交叉作业时，应编制专项方案，并应采取防碰撞的安全措施。任意两台之间的最小架设距离应符合下列规定：…2高位塔式起重机的最低位置的部件（或吊钩升至最高点或平衡重的最低部位）与低位塔式起重机中处于最高位置部件之间的垂直距离不得小于2m”的规定；</w:t>
            </w:r>
          </w:p>
          <w:p w14:paraId="40B33789">
            <w:pPr>
              <w:pStyle w:val="8"/>
              <w:spacing w:before="0" w:beforeAutospacing="0" w:after="300" w:afterAutospacing="0"/>
              <w:ind w:firstLine="600" w:firstLineChars="200"/>
              <w:rPr>
                <w:rFonts w:hint="eastAsia" w:ascii="Times New Roman" w:hAnsi="Times New Roman" w:eastAsia="仿宋_GB2312" w:cs="Times New Roman"/>
                <w:sz w:val="30"/>
                <w:szCs w:val="30"/>
                <w:lang w:val="en-US" w:eastAsia="zh-CN" w:bidi="zh-CN"/>
              </w:rPr>
            </w:pPr>
            <w:r>
              <w:rPr>
                <w:rFonts w:hint="eastAsia" w:ascii="Times New Roman" w:hAnsi="Times New Roman" w:eastAsia="仿宋_GB2312" w:cs="Times New Roman"/>
                <w:sz w:val="30"/>
                <w:szCs w:val="30"/>
                <w:lang w:val="en-US" w:eastAsia="zh-CN" w:bidi="zh-CN"/>
              </w:rPr>
              <w:t>《房屋市政工程生产安全重大事故隐患判定标准（2024版）》（建质规［2024］5号）第八条：“建筑起重机械及吊装工程有下列情形之一的，应判定为重大事故隐患：…（八）：塔式起重机与周边建（构）筑物或群塔作业未保持安全距离…”；</w:t>
            </w:r>
          </w:p>
          <w:p w14:paraId="19AD22B8">
            <w:pPr>
              <w:pStyle w:val="8"/>
              <w:spacing w:before="0" w:beforeAutospacing="0" w:after="300" w:afterAutospacing="0"/>
              <w:ind w:firstLine="600" w:firstLineChars="200"/>
              <w:rPr>
                <w:rFonts w:hint="default" w:ascii="Times New Roman" w:hAnsi="Times New Roman" w:eastAsia="仿宋_GB2312" w:cs="Times New Roman"/>
                <w:sz w:val="30"/>
                <w:szCs w:val="30"/>
                <w:vertAlign w:val="baseline"/>
                <w:lang w:val="en" w:eastAsia="zh-CN"/>
              </w:rPr>
            </w:pPr>
            <w:r>
              <w:rPr>
                <w:rFonts w:hint="eastAsia" w:ascii="Times New Roman" w:hAnsi="Times New Roman" w:eastAsia="仿宋_GB2312" w:cs="Times New Roman"/>
                <w:sz w:val="30"/>
                <w:szCs w:val="30"/>
                <w:lang w:val="en-US" w:eastAsia="zh-CN" w:bidi="zh-CN"/>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r>
      <w:tr w14:paraId="2FF5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25193EA9">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违法责任</w:t>
            </w:r>
          </w:p>
        </w:tc>
        <w:tc>
          <w:tcPr>
            <w:tcW w:w="9337" w:type="dxa"/>
            <w:noWrap w:val="0"/>
            <w:vAlign w:val="center"/>
          </w:tcPr>
          <w:p w14:paraId="51C2A5E4">
            <w:pPr>
              <w:jc w:val="left"/>
              <w:rPr>
                <w:rFonts w:hint="default" w:ascii="Times New Roman" w:hAnsi="Times New Roman" w:eastAsia="仿宋_GB2312" w:cs="Times New Roman"/>
                <w:kern w:val="0"/>
                <w:sz w:val="30"/>
                <w:szCs w:val="30"/>
                <w:lang w:val="en" w:eastAsia="zh-CN" w:bidi="zh-CN"/>
              </w:rPr>
            </w:pPr>
            <w:r>
              <w:rPr>
                <w:rFonts w:hint="eastAsia" w:ascii="Times New Roman" w:hAnsi="Times New Roman" w:eastAsia="仿宋_GB2312" w:cs="Times New Roman"/>
                <w:sz w:val="30"/>
                <w:szCs w:val="30"/>
                <w:lang w:val="en-US" w:eastAsia="zh-CN" w:bidi="zh-CN"/>
              </w:rPr>
              <w:t>《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r>
      <w:tr w14:paraId="6CE2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6D1F8029">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合规建议</w:t>
            </w:r>
          </w:p>
        </w:tc>
        <w:tc>
          <w:tcPr>
            <w:tcW w:w="9337" w:type="dxa"/>
            <w:noWrap w:val="0"/>
            <w:vAlign w:val="center"/>
          </w:tcPr>
          <w:p w14:paraId="3FB6A601">
            <w:pPr>
              <w:jc w:val="both"/>
              <w:rPr>
                <w:rFonts w:hint="default" w:ascii="Times New Roman" w:hAnsi="Times New Roman" w:eastAsia="仿宋_GB2312" w:cs="Times New Roman"/>
                <w:kern w:val="0"/>
                <w:sz w:val="30"/>
                <w:szCs w:val="30"/>
                <w:lang w:val="en" w:eastAsia="zh-CN" w:bidi="zh-CN"/>
              </w:rPr>
            </w:pPr>
            <w:r>
              <w:rPr>
                <w:rFonts w:hint="eastAsia" w:ascii="Times New Roman" w:hAnsi="Times New Roman" w:eastAsia="仿宋_GB2312" w:cs="Times New Roman"/>
                <w:kern w:val="0"/>
                <w:sz w:val="30"/>
                <w:szCs w:val="30"/>
                <w:lang w:val="en" w:eastAsia="zh-CN" w:bidi="zh-CN"/>
              </w:rPr>
              <w:t>依法依规进行生产经营</w:t>
            </w:r>
          </w:p>
        </w:tc>
      </w:tr>
      <w:tr w14:paraId="2909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07861B15">
            <w:pPr>
              <w:jc w:val="center"/>
              <w:rPr>
                <w:rFonts w:hint="default" w:ascii="Times New Roman" w:hAnsi="Times New Roman" w:eastAsia="仿宋_GB2312" w:cs="Times New Roman"/>
                <w:sz w:val="30"/>
                <w:szCs w:val="30"/>
                <w:vertAlign w:val="baseline"/>
                <w:lang w:val="en" w:eastAsia="zh-CN"/>
              </w:rPr>
            </w:pPr>
            <w:r>
              <w:rPr>
                <w:rFonts w:hint="default" w:ascii="Times New Roman" w:hAnsi="Times New Roman" w:eastAsia="仿宋_GB2312" w:cs="Times New Roman"/>
                <w:sz w:val="30"/>
                <w:szCs w:val="30"/>
                <w:vertAlign w:val="baseline"/>
                <w:lang w:val="en" w:eastAsia="zh-CN"/>
              </w:rPr>
              <w:t>关联性政策规定</w:t>
            </w:r>
          </w:p>
        </w:tc>
        <w:tc>
          <w:tcPr>
            <w:tcW w:w="9337" w:type="dxa"/>
            <w:noWrap w:val="0"/>
            <w:vAlign w:val="center"/>
          </w:tcPr>
          <w:p w14:paraId="5FDD36D5">
            <w:pPr>
              <w:tabs>
                <w:tab w:val="left" w:pos="1621"/>
              </w:tabs>
              <w:jc w:val="left"/>
              <w:rPr>
                <w:rFonts w:hint="default" w:ascii="Times New Roman" w:hAnsi="Times New Roman" w:eastAsia="仿宋_GB2312" w:cs="Times New Roman"/>
                <w:kern w:val="0"/>
                <w:sz w:val="30"/>
                <w:szCs w:val="30"/>
                <w:lang w:val="en" w:eastAsia="zh-CN" w:bidi="zh-CN"/>
              </w:rPr>
            </w:pPr>
            <w:r>
              <w:rPr>
                <w:rFonts w:hint="eastAsia" w:ascii="Times New Roman" w:hAnsi="Times New Roman" w:eastAsia="仿宋_GB2312" w:cs="Times New Roman"/>
                <w:kern w:val="0"/>
                <w:sz w:val="30"/>
                <w:szCs w:val="30"/>
                <w:lang w:val="en-US" w:eastAsia="zh-CN" w:bidi="zh-CN"/>
              </w:rPr>
              <w:t>中华人民共和国行业标准《建筑施工塔式起重机安装、使用、拆卸安全技术规程》（JGJ196-2010）；《房屋市政工程生产安全重大事故隐患判定标准（2024版）》（建质规［2024］5号）。</w:t>
            </w:r>
          </w:p>
        </w:tc>
      </w:tr>
      <w:tr w14:paraId="0CFE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3" w:type="dxa"/>
            <w:noWrap w:val="0"/>
            <w:vAlign w:val="center"/>
          </w:tcPr>
          <w:p w14:paraId="45A60091">
            <w:pPr>
              <w:jc w:val="center"/>
              <w:rPr>
                <w:rFonts w:hint="default" w:ascii="Times New Roman" w:hAnsi="Times New Roman" w:eastAsia="仿宋_GB2312" w:cs="Times New Roman"/>
                <w:sz w:val="30"/>
                <w:szCs w:val="30"/>
                <w:vertAlign w:val="baseline"/>
                <w:lang w:val="en-US" w:eastAsia="zh-CN"/>
              </w:rPr>
            </w:pPr>
            <w:r>
              <w:rPr>
                <w:rFonts w:hint="default" w:ascii="Times New Roman" w:hAnsi="Times New Roman" w:eastAsia="仿宋_GB2312" w:cs="Times New Roman"/>
                <w:sz w:val="30"/>
                <w:szCs w:val="30"/>
                <w:vertAlign w:val="baseline"/>
                <w:lang w:val="en-US" w:eastAsia="zh-CN"/>
              </w:rPr>
              <w:t>其他政策建议</w:t>
            </w:r>
          </w:p>
        </w:tc>
        <w:tc>
          <w:tcPr>
            <w:tcW w:w="9337" w:type="dxa"/>
            <w:noWrap w:val="0"/>
            <w:vAlign w:val="center"/>
          </w:tcPr>
          <w:p w14:paraId="7E622FDD">
            <w:pPr>
              <w:jc w:val="center"/>
              <w:rPr>
                <w:rFonts w:hint="default" w:ascii="Times New Roman" w:hAnsi="Times New Roman" w:eastAsia="仿宋_GB2312" w:cs="Times New Roman"/>
                <w:sz w:val="30"/>
                <w:szCs w:val="30"/>
                <w:vertAlign w:val="baseline"/>
                <w:lang w:val="en" w:eastAsia="zh-CN"/>
              </w:rPr>
            </w:pPr>
            <w:r>
              <w:rPr>
                <w:rFonts w:hint="eastAsia" w:ascii="Times New Roman" w:hAnsi="Times New Roman" w:eastAsia="仿宋_GB2312" w:cs="Times New Roman"/>
                <w:sz w:val="30"/>
                <w:szCs w:val="30"/>
                <w:vertAlign w:val="baseline"/>
                <w:lang w:val="en" w:eastAsia="zh-CN"/>
              </w:rPr>
              <w:t>无</w:t>
            </w:r>
          </w:p>
        </w:tc>
      </w:tr>
    </w:tbl>
    <w:p w14:paraId="46114145">
      <w:pPr>
        <w:pStyle w:val="8"/>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企业合规经营政策指导建议书</w:t>
      </w:r>
    </w:p>
    <w:tbl>
      <w:tblPr>
        <w:tblStyle w:val="11"/>
        <w:tblpPr w:leftFromText="180" w:rightFromText="180" w:vertAnchor="text" w:horzAnchor="page" w:tblpX="1560" w:tblpY="94"/>
        <w:tblOverlap w:val="never"/>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7499"/>
      </w:tblGrid>
      <w:tr w14:paraId="507C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481" w:type="dxa"/>
            <w:noWrap w:val="0"/>
            <w:vAlign w:val="center"/>
          </w:tcPr>
          <w:p w14:paraId="46E07779">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执法事项名称</w:t>
            </w:r>
          </w:p>
        </w:tc>
        <w:tc>
          <w:tcPr>
            <w:tcW w:w="7499" w:type="dxa"/>
            <w:noWrap w:val="0"/>
            <w:vAlign w:val="center"/>
          </w:tcPr>
          <w:p w14:paraId="3EBEB6ED">
            <w:pPr>
              <w:jc w:val="both"/>
              <w:rPr>
                <w:rFonts w:hint="default"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 w:eastAsia="zh-CN"/>
              </w:rPr>
              <w:t>我单位未监督检查起重机械的使用情况案</w:t>
            </w:r>
          </w:p>
        </w:tc>
      </w:tr>
      <w:tr w14:paraId="6310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692228D4">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违法</w:t>
            </w:r>
          </w:p>
          <w:p w14:paraId="1B0CDFA8">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风险点</w:t>
            </w:r>
          </w:p>
        </w:tc>
        <w:tc>
          <w:tcPr>
            <w:tcW w:w="7499" w:type="dxa"/>
            <w:noWrap w:val="0"/>
            <w:vAlign w:val="center"/>
          </w:tcPr>
          <w:p w14:paraId="730B572D">
            <w:pPr>
              <w:jc w:val="both"/>
              <w:rPr>
                <w:rFonts w:hint="eastAsia"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 w:eastAsia="zh-CN"/>
              </w:rPr>
              <w:t>群塔作业安装、使用严格按照群塔防碰撞方案实施</w:t>
            </w:r>
          </w:p>
        </w:tc>
      </w:tr>
      <w:tr w14:paraId="02E8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0353EAC7">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常见违法行为表现</w:t>
            </w:r>
          </w:p>
        </w:tc>
        <w:tc>
          <w:tcPr>
            <w:tcW w:w="7499" w:type="dxa"/>
            <w:noWrap w:val="0"/>
            <w:vAlign w:val="center"/>
          </w:tcPr>
          <w:p w14:paraId="05FF50CC">
            <w:pPr>
              <w:jc w:val="both"/>
              <w:rPr>
                <w:rFonts w:hint="default"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 w:eastAsia="zh-CN"/>
              </w:rPr>
              <w:t>群塔作业安全距离不足</w:t>
            </w:r>
            <w:r>
              <w:rPr>
                <w:rFonts w:hint="eastAsia" w:ascii="Times New Roman" w:hAnsi="Times New Roman" w:eastAsia="仿宋_GB2312" w:cs="Times New Roman"/>
                <w:sz w:val="28"/>
                <w:szCs w:val="28"/>
                <w:vertAlign w:val="baseline"/>
                <w:lang w:val="en-US" w:eastAsia="zh-CN"/>
              </w:rPr>
              <w:t>2m</w:t>
            </w:r>
          </w:p>
        </w:tc>
      </w:tr>
      <w:tr w14:paraId="751F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25B05F9F">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法律法规依据</w:t>
            </w:r>
          </w:p>
        </w:tc>
        <w:tc>
          <w:tcPr>
            <w:tcW w:w="7499" w:type="dxa"/>
            <w:noWrap w:val="0"/>
            <w:vAlign w:val="center"/>
          </w:tcPr>
          <w:p w14:paraId="2A1BBAD7">
            <w:pPr>
              <w:pStyle w:val="8"/>
              <w:spacing w:before="0" w:beforeAutospacing="0" w:after="300" w:afterAutospacing="0"/>
              <w:ind w:firstLine="560" w:firstLineChars="200"/>
              <w:rPr>
                <w:rFonts w:hint="eastAsia" w:ascii="Times New Roman" w:hAnsi="Times New Roman" w:eastAsia="仿宋_GB2312" w:cs="Times New Roman"/>
                <w:kern w:val="2"/>
                <w:sz w:val="28"/>
                <w:szCs w:val="28"/>
                <w:vertAlign w:val="baseline"/>
                <w:lang w:val="en-US" w:eastAsia="zh-CN" w:bidi="ar-SA"/>
              </w:rPr>
            </w:pPr>
            <w:r>
              <w:rPr>
                <w:rFonts w:hint="eastAsia" w:ascii="Times New Roman" w:hAnsi="Times New Roman" w:eastAsia="仿宋_GB2312" w:cs="Times New Roman"/>
                <w:kern w:val="2"/>
                <w:sz w:val="28"/>
                <w:szCs w:val="28"/>
                <w:vertAlign w:val="baseline"/>
                <w:lang w:val="en-US" w:eastAsia="zh-CN" w:bidi="ar-SA"/>
              </w:rPr>
              <w:t>《中华人民共和国行业标准《建筑施工塔式起重机安装、使用、拆卸安全技术规程》（JGJ196-2010）2.0.14“当多台塔式起重机在同一施工现场交叉作业时，应编制专项方案，并应采取防碰撞的安全措施。任意两台之间的最小架设距离应符合下列规定：…2高位塔式起重机的最低位置的部件（或吊钩升至最高点或平衡重的最低部位）与低位塔式起重机中处于最高位置部件之间的垂直距离不得小于2m”的规定；</w:t>
            </w:r>
          </w:p>
          <w:p w14:paraId="2B447059">
            <w:pPr>
              <w:pStyle w:val="8"/>
              <w:spacing w:before="0" w:beforeAutospacing="0" w:after="300" w:afterAutospacing="0"/>
              <w:ind w:firstLine="560" w:firstLineChars="200"/>
              <w:rPr>
                <w:rFonts w:hint="eastAsia" w:ascii="Times New Roman" w:hAnsi="Times New Roman" w:eastAsia="仿宋_GB2312" w:cs="Times New Roman"/>
                <w:kern w:val="2"/>
                <w:sz w:val="28"/>
                <w:szCs w:val="28"/>
                <w:vertAlign w:val="baseline"/>
                <w:lang w:val="en-US" w:eastAsia="zh-CN" w:bidi="ar-SA"/>
              </w:rPr>
            </w:pPr>
            <w:r>
              <w:rPr>
                <w:rFonts w:hint="eastAsia" w:ascii="Times New Roman" w:hAnsi="Times New Roman" w:eastAsia="仿宋_GB2312" w:cs="Times New Roman"/>
                <w:kern w:val="2"/>
                <w:sz w:val="28"/>
                <w:szCs w:val="28"/>
                <w:vertAlign w:val="baseline"/>
                <w:lang w:val="en-US" w:eastAsia="zh-CN" w:bidi="ar-SA"/>
              </w:rPr>
              <w:t>《房屋市政工程生产安全重大事故隐患判定标准（2024版）》（建质规［2024］5号）第八条：“建筑起重机械及吊装工程有下列情形之一的，应判定为重大事故隐患：…（八）：塔式起重机与周边建（构）筑物或群塔作业未保持安全距离…”；</w:t>
            </w:r>
          </w:p>
          <w:p w14:paraId="48FF94FD">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kern w:val="2"/>
                <w:sz w:val="28"/>
                <w:szCs w:val="28"/>
                <w:vertAlign w:val="baseline"/>
                <w:lang w:val="en" w:eastAsia="zh-CN" w:bidi="ar-SA"/>
              </w:rPr>
            </w:pPr>
            <w:r>
              <w:rPr>
                <w:rFonts w:hint="eastAsia" w:ascii="Times New Roman" w:hAnsi="Times New Roman" w:eastAsia="仿宋_GB2312" w:cs="Times New Roman"/>
                <w:kern w:val="2"/>
                <w:sz w:val="28"/>
                <w:szCs w:val="28"/>
                <w:vertAlign w:val="baseline"/>
                <w:lang w:val="en-US" w:eastAsia="zh-CN" w:bidi="ar-SA"/>
              </w:rPr>
              <w:t>《建筑起重机械安全监督管理规定》（2008年1月28日中华人民共和国建设部令第166号发布）第二十二条“监理单位应当履行下列安全职责：…（五）监督检查建筑起重机械的使用情况…”的规定。</w:t>
            </w:r>
          </w:p>
        </w:tc>
      </w:tr>
      <w:tr w14:paraId="5564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6796E995">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违法责任</w:t>
            </w:r>
          </w:p>
        </w:tc>
        <w:tc>
          <w:tcPr>
            <w:tcW w:w="7499" w:type="dxa"/>
            <w:noWrap w:val="0"/>
            <w:vAlign w:val="center"/>
          </w:tcPr>
          <w:p w14:paraId="61A97C6C">
            <w:pPr>
              <w:jc w:val="both"/>
              <w:rPr>
                <w:rFonts w:hint="default" w:ascii="Times New Roman" w:hAnsi="Times New Roman" w:eastAsia="仿宋_GB2312" w:cs="Times New Roman"/>
                <w:kern w:val="2"/>
                <w:sz w:val="28"/>
                <w:szCs w:val="28"/>
                <w:vertAlign w:val="baseline"/>
                <w:lang w:val="en" w:eastAsia="zh-CN" w:bidi="ar-SA"/>
              </w:rPr>
            </w:pPr>
            <w:r>
              <w:rPr>
                <w:rFonts w:hint="eastAsia" w:ascii="Times New Roman" w:hAnsi="Times New Roman" w:eastAsia="仿宋_GB2312" w:cs="Times New Roman"/>
                <w:sz w:val="28"/>
                <w:szCs w:val="28"/>
                <w:vertAlign w:val="baseline"/>
                <w:lang w:val="en-US" w:eastAsia="zh-CN"/>
              </w:rPr>
              <w:t>依据《建筑起重机械安全监督管理规定》（2008年1月28日中华人民共和国建设部令第166号发布）第三十二条：“违反本规定，监理单位未履行第二十二条第（一）（二）（四）（五）项安全职责的，由县级以上地方人民政府建设主管部门责令限期改正，予以警告，并处以5000元以上3万元以下的罚款。”</w:t>
            </w:r>
          </w:p>
        </w:tc>
      </w:tr>
      <w:tr w14:paraId="2DAF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09EDD5A8">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合规建议</w:t>
            </w:r>
          </w:p>
        </w:tc>
        <w:tc>
          <w:tcPr>
            <w:tcW w:w="7499" w:type="dxa"/>
            <w:noWrap w:val="0"/>
            <w:vAlign w:val="center"/>
          </w:tcPr>
          <w:p w14:paraId="24DF4C56">
            <w:pPr>
              <w:jc w:val="both"/>
              <w:rPr>
                <w:rFonts w:hint="default"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 w:eastAsia="zh-CN"/>
              </w:rPr>
              <w:t>依法依规进行生产经营</w:t>
            </w:r>
          </w:p>
        </w:tc>
      </w:tr>
      <w:tr w14:paraId="5E39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0DF84542">
            <w:pPr>
              <w:jc w:val="center"/>
              <w:rPr>
                <w:rFonts w:hint="default" w:ascii="Times New Roman" w:hAnsi="Times New Roman" w:eastAsia="仿宋_GB2312" w:cs="Times New Roman"/>
                <w:sz w:val="28"/>
                <w:szCs w:val="28"/>
                <w:vertAlign w:val="baseline"/>
                <w:lang w:val="en" w:eastAsia="zh-CN"/>
              </w:rPr>
            </w:pPr>
            <w:r>
              <w:rPr>
                <w:rFonts w:hint="default" w:ascii="Times New Roman" w:hAnsi="Times New Roman" w:eastAsia="仿宋_GB2312" w:cs="Times New Roman"/>
                <w:sz w:val="28"/>
                <w:szCs w:val="28"/>
                <w:vertAlign w:val="baseline"/>
                <w:lang w:val="en" w:eastAsia="zh-CN"/>
              </w:rPr>
              <w:t>关联性政策规定</w:t>
            </w:r>
          </w:p>
        </w:tc>
        <w:tc>
          <w:tcPr>
            <w:tcW w:w="7499" w:type="dxa"/>
            <w:noWrap w:val="0"/>
            <w:vAlign w:val="center"/>
          </w:tcPr>
          <w:p w14:paraId="237AD4F0">
            <w:pPr>
              <w:tabs>
                <w:tab w:val="left" w:pos="1621"/>
              </w:tabs>
              <w:jc w:val="both"/>
              <w:rPr>
                <w:rFonts w:hint="default"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US" w:eastAsia="zh-CN"/>
              </w:rPr>
              <w:t>中华人民共和国行业标准《建筑施工塔式起重机安装、使用、拆卸安全技术规程》（JGJ196-2010）；《房屋市政工程生产安全重大事故隐患判定标准（2024版）》（建质规［2024］5号）；《建筑起重机械安全监督管理规定》（2008年1月28日中华人民共和国建设部令第166号发布）。</w:t>
            </w:r>
          </w:p>
        </w:tc>
      </w:tr>
      <w:tr w14:paraId="5137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81" w:type="dxa"/>
            <w:noWrap w:val="0"/>
            <w:vAlign w:val="center"/>
          </w:tcPr>
          <w:p w14:paraId="4362E661">
            <w:pPr>
              <w:jc w:val="center"/>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其他政策建议</w:t>
            </w:r>
          </w:p>
        </w:tc>
        <w:tc>
          <w:tcPr>
            <w:tcW w:w="7499" w:type="dxa"/>
            <w:noWrap w:val="0"/>
            <w:vAlign w:val="center"/>
          </w:tcPr>
          <w:p w14:paraId="2515CD69">
            <w:pPr>
              <w:jc w:val="both"/>
              <w:rPr>
                <w:rFonts w:hint="default" w:ascii="Times New Roman" w:hAnsi="Times New Roman" w:eastAsia="仿宋_GB2312" w:cs="Times New Roman"/>
                <w:sz w:val="28"/>
                <w:szCs w:val="28"/>
                <w:vertAlign w:val="baseline"/>
                <w:lang w:val="en" w:eastAsia="zh-CN"/>
              </w:rPr>
            </w:pPr>
            <w:r>
              <w:rPr>
                <w:rFonts w:hint="eastAsia" w:ascii="Times New Roman" w:hAnsi="Times New Roman" w:eastAsia="仿宋_GB2312" w:cs="Times New Roman"/>
                <w:sz w:val="28"/>
                <w:szCs w:val="28"/>
                <w:vertAlign w:val="baseline"/>
                <w:lang w:val="en" w:eastAsia="zh-CN"/>
              </w:rPr>
              <w:t>无</w:t>
            </w:r>
          </w:p>
        </w:tc>
      </w:tr>
    </w:tbl>
    <w:p w14:paraId="1AE2C4F3">
      <w:pPr>
        <w:tabs>
          <w:tab w:val="left" w:pos="2128"/>
        </w:tabs>
        <w:bidi w:val="0"/>
        <w:jc w:val="left"/>
        <w:rPr>
          <w:rFonts w:hint="eastAsia"/>
          <w:lang w:eastAsia="zh-CN"/>
        </w:rPr>
      </w:pPr>
      <w:bookmarkStart w:id="35" w:name="_GoBack"/>
      <w:bookmarkEnd w:id="35"/>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2BA"/>
    <w:rsid w:val="00012A85"/>
    <w:rsid w:val="000642EF"/>
    <w:rsid w:val="00123DB2"/>
    <w:rsid w:val="00221017"/>
    <w:rsid w:val="003111E2"/>
    <w:rsid w:val="00314E8B"/>
    <w:rsid w:val="0031796E"/>
    <w:rsid w:val="003B50E1"/>
    <w:rsid w:val="0040446F"/>
    <w:rsid w:val="004622BA"/>
    <w:rsid w:val="0062596D"/>
    <w:rsid w:val="00633C38"/>
    <w:rsid w:val="0065103F"/>
    <w:rsid w:val="00777293"/>
    <w:rsid w:val="007B1A8D"/>
    <w:rsid w:val="0084733C"/>
    <w:rsid w:val="008722CF"/>
    <w:rsid w:val="00B41307"/>
    <w:rsid w:val="00C17B0A"/>
    <w:rsid w:val="00CE3DD8"/>
    <w:rsid w:val="00EE1392"/>
    <w:rsid w:val="0A933A93"/>
    <w:rsid w:val="13906943"/>
    <w:rsid w:val="17041869"/>
    <w:rsid w:val="1D084FD8"/>
    <w:rsid w:val="252971B2"/>
    <w:rsid w:val="341667D2"/>
    <w:rsid w:val="356D6DF5"/>
    <w:rsid w:val="380E3801"/>
    <w:rsid w:val="3E203BE4"/>
    <w:rsid w:val="421F6DAB"/>
    <w:rsid w:val="43D92631"/>
    <w:rsid w:val="459609FB"/>
    <w:rsid w:val="479B7F27"/>
    <w:rsid w:val="4AED42AD"/>
    <w:rsid w:val="516D2A33"/>
    <w:rsid w:val="542A57AB"/>
    <w:rsid w:val="5D793C97"/>
    <w:rsid w:val="62101C76"/>
    <w:rsid w:val="67D7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snapToGrid w:val="0"/>
      <w:jc w:val="center"/>
    </w:pPr>
    <w:rPr>
      <w:sz w:val="18"/>
      <w:szCs w:val="18"/>
    </w:rPr>
  </w:style>
  <w:style w:type="paragraph" w:styleId="3">
    <w:name w:val="Normal Indent"/>
    <w:basedOn w:val="1"/>
    <w:qFormat/>
    <w:uiPriority w:val="99"/>
    <w:pPr>
      <w:ind w:firstLine="420" w:firstLineChars="200"/>
    </w:pPr>
  </w:style>
  <w:style w:type="paragraph" w:styleId="4">
    <w:name w:val="Salutation"/>
    <w:basedOn w:val="1"/>
    <w:next w:val="1"/>
    <w:qFormat/>
    <w:uiPriority w:val="0"/>
    <w:rPr>
      <w:rFonts w:eastAsia="宋体"/>
    </w:rPr>
  </w:style>
  <w:style w:type="paragraph" w:styleId="5">
    <w:name w:val="Body Text Indent"/>
    <w:basedOn w:val="1"/>
    <w:next w:val="3"/>
    <w:unhideWhenUsed/>
    <w:qFormat/>
    <w:uiPriority w:val="99"/>
    <w:pPr>
      <w:spacing w:after="120"/>
      <w:ind w:left="420" w:leftChars="200"/>
    </w:p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100" w:beforeAutospacing="1" w:after="100" w:afterAutospacing="1"/>
      <w:jc w:val="left"/>
    </w:pPr>
    <w:rPr>
      <w:rFonts w:cs="Times New Roman"/>
      <w:kern w:val="0"/>
      <w:sz w:val="24"/>
    </w:rPr>
  </w:style>
  <w:style w:type="paragraph" w:styleId="9">
    <w:name w:val="Body Text First Indent 2"/>
    <w:basedOn w:val="5"/>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批注框文本 字符"/>
    <w:basedOn w:val="12"/>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500</Words>
  <Characters>500</Characters>
  <Lines>10</Lines>
  <Paragraphs>2</Paragraphs>
  <TotalTime>0</TotalTime>
  <ScaleCrop>false</ScaleCrop>
  <LinksUpToDate>false</LinksUpToDate>
  <CharactersWithSpaces>501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藤沼悟</cp:lastModifiedBy>
  <cp:lastPrinted>2026-07-14T07:42:00Z</cp:lastPrinted>
  <dcterms:modified xsi:type="dcterms:W3CDTF">2026-10-16T06:27:30Z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eyJoZGlkIjoiNDhjZDFiNDBhODRkMDViNDI0OGNiNDE5YWNkM2MwZjciLCJ1c2VySWQiOiIxMjM5ODUifQ==</vt:lpwstr>
  </property>
  <property fmtid="{D5CDD505-2E9C-101B-9397-08002B2CF9AE}" pid="4" name="ICV">
    <vt:lpwstr>40A67FF3F72C465FB6455B0054C9120B_13</vt:lpwstr>
  </property>
</Properties>
</file>