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rPr>
          <w:rFonts w:hint="eastAsia" w:ascii="文星简小标宋" w:hAnsi="文星简小标宋" w:eastAsia="文星简小标宋" w:cs="文星简小标宋"/>
          <w:sz w:val="44"/>
          <w:szCs w:val="44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</w:rPr>
        <w:t>关于经技区</w:t>
      </w:r>
      <w:r>
        <w:rPr>
          <w:rFonts w:hint="default" w:ascii="Times New Roman" w:hAnsi="Times New Roman" w:eastAsia="文星简小标宋" w:cs="Times New Roman"/>
          <w:sz w:val="44"/>
          <w:szCs w:val="44"/>
        </w:rPr>
        <w:t>2023</w:t>
      </w:r>
      <w:r>
        <w:rPr>
          <w:rFonts w:hint="eastAsia" w:ascii="文星简小标宋" w:hAnsi="文星简小标宋" w:eastAsia="文星简小标宋" w:cs="文星简小标宋"/>
          <w:sz w:val="44"/>
          <w:szCs w:val="44"/>
        </w:rPr>
        <w:t>年上半年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rPr>
          <w:rFonts w:hint="eastAsia" w:ascii="文星简小标宋" w:hAnsi="文星简小标宋" w:eastAsia="文星简小标宋" w:cs="文星简小标宋"/>
          <w:sz w:val="44"/>
          <w:szCs w:val="44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</w:rPr>
        <w:t>预算执行情况的报告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rPr>
          <w:rFonts w:hint="eastAsia" w:ascii="楷体_GB2312" w:hAnsi="楷体_GB2312" w:eastAsia="楷体_GB2312" w:cs="楷体_GB2312"/>
          <w:szCs w:val="20"/>
        </w:rPr>
      </w:pPr>
      <w:r>
        <w:rPr>
          <w:rFonts w:hint="eastAsia" w:ascii="楷体_GB2312" w:hAnsi="楷体_GB2312" w:eastAsia="楷体_GB2312" w:cs="楷体_GB2312"/>
          <w:szCs w:val="20"/>
        </w:rPr>
        <w:t>威海经济技术开发区管委会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ascii="Times New Roman" w:hAnsi="Times New Roman" w:cs="Times New Roman"/>
          <w:color w:val="00000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</w:pPr>
      <w:r>
        <w:rPr>
          <w:snapToGrid w:val="0"/>
        </w:rPr>
        <w:t>主任、各位副主任、秘书长、各位委员：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2" w:firstLineChars="200"/>
        <w:rPr>
          <w:color w:val="000000"/>
        </w:rPr>
      </w:pPr>
      <w:r>
        <w:t>受市政府委托，现向市人大常委会报告经技</w:t>
      </w:r>
      <w:r>
        <w:rPr>
          <w:rFonts w:hint="eastAsia" w:ascii="仿宋_GB2312" w:hAnsi="仿宋_GB2312" w:eastAsia="仿宋_GB2312" w:cs="仿宋_GB2312"/>
        </w:rPr>
        <w:t>区</w:t>
      </w:r>
      <w:r>
        <w:rPr>
          <w:rFonts w:hint="default" w:ascii="Times New Roman" w:hAnsi="Times New Roman" w:eastAsia="仿宋_GB2312" w:cs="Times New Roman"/>
        </w:rPr>
        <w:t>2023</w:t>
      </w:r>
      <w:r>
        <w:rPr>
          <w:rFonts w:hint="eastAsia" w:ascii="仿宋_GB2312" w:hAnsi="仿宋_GB2312" w:eastAsia="仿宋_GB2312" w:cs="仿宋_GB2312"/>
        </w:rPr>
        <w:t>年上半</w:t>
      </w:r>
      <w:r>
        <w:t>年预算执行情况，请予审议。</w:t>
      </w:r>
      <w:r>
        <w:rPr>
          <w:color w:val="000000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2" w:firstLineChars="200"/>
        <w:rPr>
          <w:rFonts w:eastAsia="黑体"/>
          <w:color w:val="000000"/>
        </w:rPr>
      </w:pPr>
      <w:r>
        <w:rPr>
          <w:rFonts w:eastAsia="黑体"/>
          <w:snapToGrid w:val="0"/>
          <w:color w:val="000000"/>
        </w:rPr>
        <w:t>一、</w:t>
      </w:r>
      <w:r>
        <w:rPr>
          <w:rFonts w:eastAsia="黑体"/>
          <w:snapToGrid w:val="0"/>
        </w:rPr>
        <w:t>上半年预算执行情况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2" w:firstLineChars="200"/>
        <w:rPr>
          <w:rFonts w:hint="eastAsia" w:ascii="楷体_GB2312" w:hAnsi="楷体_GB2312" w:eastAsia="楷体_GB2312" w:cs="楷体_GB2312"/>
          <w:snapToGrid w:val="0"/>
          <w:color w:val="000000"/>
        </w:rPr>
      </w:pPr>
      <w:r>
        <w:rPr>
          <w:rFonts w:hint="eastAsia" w:ascii="楷体_GB2312" w:hAnsi="楷体_GB2312" w:eastAsia="楷体_GB2312" w:cs="楷体_GB2312"/>
          <w:snapToGrid w:val="0"/>
          <w:color w:val="000000"/>
        </w:rPr>
        <w:t>（一）一般公共预算执行情况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2" w:firstLineChars="200"/>
        <w:rPr>
          <w:rFonts w:hint="default" w:ascii="Times New Roman" w:hAnsi="Times New Roman" w:eastAsia="仿宋_GB2312" w:cs="Times New Roman"/>
        </w:rPr>
      </w:pPr>
      <w:r>
        <w:rPr>
          <w:rFonts w:hint="eastAsia" w:ascii="Times New Roman" w:hAnsi="Times New Roman" w:eastAsia="仿宋_GB2312" w:cs="Times New Roman"/>
        </w:rPr>
        <w:t>2023年上半年，区级一般公共预算收入138279万元，完成预算的64.3%，下降7.5%。其中：税收收入114564万元，占一般公共预算收入的比重为82.8%；主体税收70391万元，占税收收入的比重为61.4%。一般公共预算支出91492万元，完成预算的50.7%，下降13.4%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2" w:firstLineChars="200"/>
        <w:rPr>
          <w:rFonts w:hint="eastAsia" w:ascii="楷体_GB2312" w:hAnsi="楷体_GB2312" w:eastAsia="楷体_GB2312" w:cs="楷体_GB2312"/>
          <w:snapToGrid w:val="0"/>
          <w:color w:val="000000"/>
        </w:rPr>
      </w:pPr>
      <w:r>
        <w:rPr>
          <w:rFonts w:hint="eastAsia" w:ascii="楷体_GB2312" w:hAnsi="楷体_GB2312" w:eastAsia="楷体_GB2312" w:cs="楷体_GB2312"/>
          <w:snapToGrid w:val="0"/>
          <w:color w:val="000000"/>
        </w:rPr>
        <w:t>（二）政府性基金预算执行情况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2" w:firstLineChars="200"/>
        <w:rPr>
          <w:rFonts w:hint="eastAsia" w:ascii="Times New Roman" w:hAnsi="Times New Roman" w:eastAsia="仿宋_GB2312" w:cs="Times New Roman"/>
        </w:rPr>
      </w:pPr>
      <w:r>
        <w:rPr>
          <w:rFonts w:hint="eastAsia" w:ascii="Times New Roman" w:hAnsi="Times New Roman" w:eastAsia="仿宋_GB2312" w:cs="Times New Roman"/>
        </w:rPr>
        <w:t>2023年上半年，区级政府性基金收入6637万元，完成预算的35.7%。区级政府性基金支出143331万元，完成预算的82.9%，下降49.4%。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2" w:firstLineChars="200"/>
        <w:rPr>
          <w:rFonts w:hint="eastAsia" w:ascii="楷体_GB2312" w:hAnsi="楷体_GB2312" w:eastAsia="楷体_GB2312" w:cs="楷体_GB2312"/>
          <w:snapToGrid w:val="0"/>
          <w:color w:val="000000"/>
        </w:rPr>
      </w:pPr>
      <w:r>
        <w:rPr>
          <w:rFonts w:hint="eastAsia" w:ascii="楷体_GB2312" w:hAnsi="楷体_GB2312" w:eastAsia="楷体_GB2312" w:cs="楷体_GB2312"/>
          <w:snapToGrid w:val="0"/>
          <w:color w:val="000000"/>
        </w:rPr>
        <w:t>（三）社会保险基金预算执行情况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2" w:firstLineChars="200"/>
        <w:rPr>
          <w:rFonts w:hint="eastAsia" w:ascii="Times New Roman" w:hAnsi="Times New Roman" w:eastAsia="仿宋_GB2312" w:cs="Times New Roman"/>
        </w:rPr>
      </w:pPr>
      <w:r>
        <w:rPr>
          <w:rFonts w:hint="eastAsia" w:ascii="Times New Roman" w:hAnsi="Times New Roman" w:eastAsia="仿宋_GB2312" w:cs="Times New Roman"/>
        </w:rPr>
        <w:t>2023年上半年，区级社会保险基金预算收入5791万元，完成预算的55%，增长53.1%。区级社会保险基金预算支出3793万</w:t>
      </w:r>
      <w:r>
        <w:rPr>
          <w:rFonts w:hint="eastAsia" w:ascii="仿宋_GB2312" w:hAnsi="仿宋_GB2312" w:eastAsia="仿宋_GB2312" w:cs="仿宋_GB2312"/>
        </w:rPr>
        <w:t>元</w:t>
      </w:r>
      <w:r>
        <w:rPr>
          <w:rFonts w:hint="eastAsia" w:ascii="Times New Roman" w:hAnsi="Times New Roman" w:eastAsia="仿宋_GB2312" w:cs="Times New Roman"/>
        </w:rPr>
        <w:t xml:space="preserve">，完成预算的48.2%，增长7.2%。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2" w:firstLineChars="200"/>
        <w:rPr>
          <w:rFonts w:hint="eastAsia" w:ascii="楷体_GB2312" w:hAnsi="楷体_GB2312" w:eastAsia="楷体_GB2312" w:cs="楷体_GB2312"/>
          <w:snapToGrid w:val="0"/>
          <w:color w:val="000000"/>
        </w:rPr>
      </w:pPr>
      <w:r>
        <w:rPr>
          <w:rFonts w:hint="eastAsia" w:ascii="楷体_GB2312" w:hAnsi="楷体_GB2312" w:eastAsia="楷体_GB2312" w:cs="楷体_GB2312"/>
          <w:snapToGrid w:val="0"/>
          <w:color w:val="000000"/>
        </w:rPr>
        <w:t>（四）上半年地方政府债务情况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2" w:firstLineChars="200"/>
        <w:rPr>
          <w:rFonts w:hint="eastAsia" w:ascii="Times New Roman" w:hAnsi="Times New Roman" w:eastAsia="仿宋_GB2312" w:cs="Times New Roman"/>
          <w:lang w:val="zh-CN"/>
        </w:rPr>
      </w:pPr>
      <w:r>
        <w:rPr>
          <w:rFonts w:hint="eastAsia" w:ascii="Times New Roman" w:hAnsi="Times New Roman" w:eastAsia="仿宋_GB2312" w:cs="Times New Roman"/>
          <w:lang w:val="zh-CN"/>
        </w:rPr>
        <w:t>202</w:t>
      </w:r>
      <w:r>
        <w:rPr>
          <w:rFonts w:hint="eastAsia" w:ascii="Times New Roman" w:hAnsi="Times New Roman" w:eastAsia="仿宋_GB2312" w:cs="Times New Roman"/>
        </w:rPr>
        <w:t>3</w:t>
      </w:r>
      <w:r>
        <w:rPr>
          <w:rFonts w:hint="eastAsia" w:ascii="Times New Roman" w:hAnsi="Times New Roman" w:eastAsia="仿宋_GB2312" w:cs="Times New Roman"/>
          <w:lang w:val="zh-CN"/>
        </w:rPr>
        <w:t>年度市级核定我区地方政府债务限额为</w:t>
      </w:r>
      <w:r>
        <w:rPr>
          <w:rFonts w:hint="eastAsia" w:ascii="Times New Roman" w:hAnsi="Times New Roman" w:eastAsia="仿宋_GB2312" w:cs="Times New Roman"/>
        </w:rPr>
        <w:t>1081000万</w:t>
      </w:r>
      <w:r>
        <w:rPr>
          <w:rFonts w:hint="eastAsia" w:ascii="Times New Roman" w:hAnsi="Times New Roman" w:eastAsia="仿宋_GB2312" w:cs="Times New Roman"/>
          <w:lang w:val="zh-CN"/>
        </w:rPr>
        <w:t>元。我区202</w:t>
      </w:r>
      <w:r>
        <w:rPr>
          <w:rFonts w:hint="eastAsia" w:ascii="Times New Roman" w:hAnsi="Times New Roman" w:eastAsia="仿宋_GB2312" w:cs="Times New Roman"/>
        </w:rPr>
        <w:t>3</w:t>
      </w:r>
      <w:r>
        <w:rPr>
          <w:rFonts w:hint="eastAsia" w:ascii="Times New Roman" w:hAnsi="Times New Roman" w:eastAsia="仿宋_GB2312" w:cs="Times New Roman"/>
          <w:lang w:val="zh-CN"/>
        </w:rPr>
        <w:t>年</w:t>
      </w:r>
      <w:r>
        <w:rPr>
          <w:rFonts w:hint="eastAsia" w:ascii="Times New Roman" w:hAnsi="Times New Roman" w:eastAsia="仿宋_GB2312" w:cs="Times New Roman"/>
        </w:rPr>
        <w:t>6月末</w:t>
      </w:r>
      <w:r>
        <w:rPr>
          <w:rFonts w:hint="eastAsia" w:ascii="Times New Roman" w:hAnsi="Times New Roman" w:eastAsia="仿宋_GB2312" w:cs="Times New Roman"/>
          <w:lang w:val="zh-CN"/>
        </w:rPr>
        <w:t>地方政府债务余额为</w:t>
      </w:r>
      <w:r>
        <w:rPr>
          <w:rFonts w:hint="eastAsia" w:ascii="Times New Roman" w:hAnsi="Times New Roman" w:eastAsia="仿宋_GB2312" w:cs="Times New Roman"/>
        </w:rPr>
        <w:t>1059157万</w:t>
      </w:r>
      <w:r>
        <w:rPr>
          <w:rFonts w:hint="eastAsia" w:ascii="Times New Roman" w:hAnsi="Times New Roman" w:eastAsia="仿宋_GB2312" w:cs="Times New Roman"/>
          <w:lang w:val="zh-CN"/>
        </w:rPr>
        <w:t>元，控制在限额范围内。202</w:t>
      </w:r>
      <w:r>
        <w:rPr>
          <w:rFonts w:hint="eastAsia" w:ascii="Times New Roman" w:hAnsi="Times New Roman" w:eastAsia="仿宋_GB2312" w:cs="Times New Roman"/>
        </w:rPr>
        <w:t>3</w:t>
      </w:r>
      <w:r>
        <w:rPr>
          <w:rFonts w:hint="eastAsia" w:ascii="Times New Roman" w:hAnsi="Times New Roman" w:eastAsia="仿宋_GB2312" w:cs="Times New Roman"/>
          <w:lang w:val="zh-CN"/>
        </w:rPr>
        <w:t>年上半年市级分配我区地方政府债券</w:t>
      </w:r>
      <w:r>
        <w:rPr>
          <w:rFonts w:hint="eastAsia" w:ascii="Times New Roman" w:hAnsi="Times New Roman" w:eastAsia="仿宋_GB2312" w:cs="Times New Roman"/>
        </w:rPr>
        <w:t>89885万元</w:t>
      </w:r>
      <w:r>
        <w:rPr>
          <w:rFonts w:hint="eastAsia" w:ascii="Times New Roman" w:hAnsi="Times New Roman" w:eastAsia="仿宋_GB2312" w:cs="Times New Roman"/>
          <w:lang w:val="zh-CN"/>
        </w:rPr>
        <w:t>，包括新增债券</w:t>
      </w:r>
      <w:r>
        <w:rPr>
          <w:rFonts w:hint="eastAsia" w:ascii="Times New Roman" w:hAnsi="Times New Roman" w:eastAsia="仿宋_GB2312" w:cs="Times New Roman"/>
        </w:rPr>
        <w:t>72000万</w:t>
      </w:r>
      <w:r>
        <w:rPr>
          <w:rFonts w:hint="eastAsia" w:ascii="Times New Roman" w:hAnsi="Times New Roman" w:eastAsia="仿宋_GB2312" w:cs="Times New Roman"/>
          <w:lang w:val="zh-CN"/>
        </w:rPr>
        <w:t>元，再融资债券</w:t>
      </w:r>
      <w:r>
        <w:rPr>
          <w:rFonts w:hint="eastAsia" w:ascii="Times New Roman" w:hAnsi="Times New Roman" w:eastAsia="仿宋_GB2312" w:cs="Times New Roman"/>
        </w:rPr>
        <w:t>17885万</w:t>
      </w:r>
      <w:r>
        <w:rPr>
          <w:rFonts w:hint="eastAsia" w:ascii="Times New Roman" w:hAnsi="Times New Roman" w:eastAsia="仿宋_GB2312" w:cs="Times New Roman"/>
          <w:lang w:val="zh-CN"/>
        </w:rPr>
        <w:t>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2" w:firstLineChars="200"/>
        <w:rPr>
          <w:rFonts w:hint="eastAsia" w:ascii="Times New Roman" w:hAnsi="Times New Roman" w:eastAsia="仿宋_GB2312" w:cs="Times New Roman"/>
          <w:lang w:val="zh-CN"/>
        </w:rPr>
      </w:pPr>
      <w:r>
        <w:rPr>
          <w:rFonts w:hint="eastAsia" w:ascii="仿宋_GB2312" w:hAnsi="仿宋_GB2312" w:eastAsia="仿宋_GB2312" w:cs="仿宋_GB2312"/>
          <w:b/>
          <w:bCs/>
        </w:rPr>
        <w:t>1.</w:t>
      </w:r>
      <w:r>
        <w:rPr>
          <w:rFonts w:hint="eastAsia" w:ascii="仿宋_GB2312" w:hAnsi="仿宋_GB2312" w:eastAsia="仿宋_GB2312" w:cs="仿宋_GB2312"/>
          <w:b/>
          <w:bCs/>
          <w:lang w:val="zh-CN"/>
        </w:rPr>
        <w:t>新增债券。</w:t>
      </w:r>
      <w:r>
        <w:rPr>
          <w:rFonts w:hint="eastAsia" w:ascii="Times New Roman" w:hAnsi="Times New Roman" w:eastAsia="仿宋_GB2312" w:cs="Times New Roman"/>
          <w:lang w:val="zh-CN"/>
        </w:rPr>
        <w:t>新增债券</w:t>
      </w:r>
      <w:r>
        <w:rPr>
          <w:rFonts w:hint="eastAsia" w:ascii="Times New Roman" w:hAnsi="Times New Roman" w:eastAsia="仿宋_GB2312" w:cs="Times New Roman"/>
        </w:rPr>
        <w:t>纳入政府性基金预算管理，安排用于中韩自贸合作示范园区基础设施配套项目55000万元，经开区水网建设提升工程（二期）项目10000万元，经开区2023年老旧小区改造工程项目3000万元，经技区城市停车场及汽车充电桩建设项目2000万元，经开区生活垃圾分类投放设施建设项目2000万元。截止6月底，新增专项债券实际支出金额为62000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2" w:firstLineChars="200"/>
        <w:rPr>
          <w:rFonts w:hint="eastAsia" w:ascii="仿宋_GB2312" w:hAnsi="仿宋_GB2312" w:eastAsia="仿宋_GB2312" w:cs="仿宋_GB2312"/>
          <w:lang w:val="zh-CN"/>
        </w:rPr>
      </w:pPr>
      <w:r>
        <w:rPr>
          <w:rFonts w:hint="eastAsia" w:ascii="仿宋_GB2312" w:hAnsi="仿宋_GB2312" w:eastAsia="仿宋_GB2312" w:cs="仿宋_GB2312"/>
          <w:b/>
          <w:bCs/>
        </w:rPr>
        <w:t>2.</w:t>
      </w:r>
      <w:r>
        <w:rPr>
          <w:rFonts w:hint="eastAsia" w:ascii="仿宋_GB2312" w:hAnsi="仿宋_GB2312" w:eastAsia="仿宋_GB2312" w:cs="仿宋_GB2312"/>
          <w:b/>
          <w:bCs/>
          <w:lang w:val="zh-CN"/>
        </w:rPr>
        <w:t>再融资债券。</w:t>
      </w:r>
      <w:r>
        <w:rPr>
          <w:rFonts w:hint="eastAsia" w:ascii="仿宋_GB2312" w:hAnsi="仿宋_GB2312" w:eastAsia="仿宋_GB2312" w:cs="仿宋_GB2312"/>
          <w:lang w:val="zh-CN"/>
        </w:rPr>
        <w:t>再融资债券全部用于偿还到期地方政府债券本金。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2" w:firstLineChars="200"/>
        <w:rPr>
          <w:rFonts w:eastAsia="黑体"/>
        </w:rPr>
      </w:pPr>
      <w:r>
        <w:rPr>
          <w:rFonts w:eastAsia="黑体"/>
        </w:rPr>
        <w:t>二、落实十八届人大</w:t>
      </w:r>
      <w:r>
        <w:rPr>
          <w:rFonts w:hint="eastAsia" w:eastAsia="黑体"/>
        </w:rPr>
        <w:t>三</w:t>
      </w:r>
      <w:r>
        <w:rPr>
          <w:rFonts w:eastAsia="黑体"/>
        </w:rPr>
        <w:t>次会议决议、推进财政改革管理情况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2" w:firstLineChars="200"/>
      </w:pPr>
      <w:r>
        <w:rPr>
          <w:rFonts w:hint="eastAsia" w:ascii="楷体_GB2312" w:hAnsi="楷体_GB2312" w:eastAsia="楷体_GB2312" w:cs="楷体_GB2312"/>
          <w:snapToGrid w:val="0"/>
          <w:color w:val="000000"/>
        </w:rPr>
        <w:t>（一）狠抓财源培育涵养，做好生财聚财文章。</w:t>
      </w:r>
      <w:r>
        <w:rPr>
          <w:b/>
        </w:rPr>
        <w:t>一是抓征管育财源。</w:t>
      </w:r>
      <w:r>
        <w:rPr>
          <w:rFonts w:hint="eastAsia"/>
        </w:rPr>
        <w:t>贯彻</w:t>
      </w:r>
      <w:r>
        <w:t>落实税费共治若干措施，开展大企业“</w:t>
      </w:r>
      <w:r>
        <w:rPr>
          <w:rFonts w:hint="eastAsia"/>
        </w:rPr>
        <w:t>健康</w:t>
      </w:r>
      <w:r>
        <w:t>查体”</w:t>
      </w:r>
      <w:r>
        <w:rPr>
          <w:rFonts w:hint="eastAsia"/>
        </w:rPr>
        <w:t>和</w:t>
      </w:r>
      <w:r>
        <w:t>“</w:t>
      </w:r>
      <w:r>
        <w:rPr>
          <w:rFonts w:hint="eastAsia"/>
        </w:rPr>
        <w:t>对称</w:t>
      </w:r>
      <w:r>
        <w:t>式”</w:t>
      </w:r>
      <w:r>
        <w:rPr>
          <w:rFonts w:hint="eastAsia"/>
        </w:rPr>
        <w:t>服务</w:t>
      </w:r>
      <w:r>
        <w:t>，强化</w:t>
      </w:r>
      <w:r>
        <w:rPr>
          <w:rFonts w:hint="eastAsia"/>
        </w:rPr>
        <w:t>重点</w:t>
      </w:r>
      <w:r>
        <w:t>税源监管。深化“以数治税”，以建设项目税费一体化平台为抓手，比对核查房产、土地等涉税信息，全面清查已拍土地契税缴纳情况。开展镇街共治，制定重点企业管理、土地征迁出</w:t>
      </w:r>
      <w:r>
        <w:rPr>
          <w:rFonts w:hint="eastAsia" w:ascii="仿宋_GB2312" w:hAnsi="仿宋_GB2312" w:eastAsia="仿宋_GB2312" w:cs="仿宋_GB2312"/>
          <w:lang w:val="zh-CN"/>
        </w:rPr>
        <w:t>让管理等</w:t>
      </w:r>
      <w:r>
        <w:rPr>
          <w:rFonts w:hint="default" w:ascii="Times New Roman" w:hAnsi="Times New Roman" w:eastAsia="仿宋_GB2312" w:cs="Times New Roman"/>
          <w:lang w:val="zh-CN"/>
        </w:rPr>
        <w:t>“6张清单”，做</w:t>
      </w:r>
      <w:r>
        <w:rPr>
          <w:rFonts w:hint="eastAsia" w:ascii="仿宋_GB2312" w:hAnsi="仿宋_GB2312" w:eastAsia="仿宋_GB2312" w:cs="仿宋_GB2312"/>
          <w:lang w:val="zh-CN"/>
        </w:rPr>
        <w:t>好固定</w:t>
      </w:r>
      <w:r>
        <w:t>税源摸底调查及零散税源监控管理，压实镇街收入责任，堵漏挖潜、应收尽收。</w:t>
      </w:r>
      <w:r>
        <w:rPr>
          <w:b/>
        </w:rPr>
        <w:t>二是抓经济稳财源。</w:t>
      </w:r>
      <w:r>
        <w:rPr>
          <w:rFonts w:hint="eastAsia"/>
        </w:rPr>
        <w:t>推进</w:t>
      </w:r>
      <w:r>
        <w:t>实施</w:t>
      </w:r>
      <w:r>
        <w:rPr>
          <w:rFonts w:hint="default" w:ascii="Times New Roman" w:hAnsi="Times New Roman" w:eastAsia="仿宋_GB2312" w:cs="Times New Roman"/>
          <w:lang w:val="zh-CN"/>
        </w:rPr>
        <w:t>“</w:t>
      </w:r>
      <w:r>
        <w:rPr>
          <w:rFonts w:hint="eastAsia" w:ascii="Times New Roman" w:hAnsi="Times New Roman" w:eastAsia="仿宋_GB2312" w:cs="Times New Roman"/>
          <w:lang w:val="zh-CN"/>
        </w:rPr>
        <w:t>1369</w:t>
      </w:r>
      <w:r>
        <w:rPr>
          <w:rFonts w:hint="default" w:ascii="Times New Roman" w:hAnsi="Times New Roman" w:eastAsia="仿宋_GB2312" w:cs="Times New Roman"/>
          <w:lang w:val="zh-CN"/>
        </w:rPr>
        <w:t>”</w:t>
      </w:r>
      <w:r>
        <w:rPr>
          <w:rFonts w:hint="eastAsia" w:ascii="Times New Roman" w:hAnsi="Times New Roman" w:eastAsia="仿宋_GB2312" w:cs="Times New Roman"/>
          <w:lang w:val="zh-CN"/>
        </w:rPr>
        <w:t>高</w:t>
      </w:r>
      <w:r>
        <w:rPr>
          <w:rFonts w:hint="eastAsia"/>
        </w:rPr>
        <w:t>质量</w:t>
      </w:r>
      <w:r>
        <w:t>发展行动计划，全力支持骨干企业膨胀、小微企业梯次成长和重点项目建设</w:t>
      </w:r>
      <w:r>
        <w:rPr>
          <w:rFonts w:hint="eastAsia"/>
        </w:rPr>
        <w:t>。</w:t>
      </w:r>
      <w:r>
        <w:t>加快低效用地整治储备和经营性用地出让，</w:t>
      </w:r>
      <w:r>
        <w:rPr>
          <w:rFonts w:hint="eastAsia"/>
        </w:rPr>
        <w:t>推进</w:t>
      </w:r>
      <w:r>
        <w:t>实施都市新型精致产业园，助推产业转型升级</w:t>
      </w:r>
      <w:r>
        <w:rPr>
          <w:rFonts w:hint="eastAsia"/>
        </w:rPr>
        <w:t>，</w:t>
      </w:r>
      <w:r>
        <w:t>夯实财源基础。</w:t>
      </w:r>
      <w:r>
        <w:rPr>
          <w:b/>
        </w:rPr>
        <w:t>三是抓政策增财源。</w:t>
      </w:r>
      <w:r>
        <w:t>深入研</w:t>
      </w:r>
      <w:r>
        <w:rPr>
          <w:rFonts w:hint="default" w:ascii="Times New Roman" w:hAnsi="Times New Roman" w:eastAsia="仿宋_GB2312" w:cs="Times New Roman"/>
          <w:lang w:val="zh-CN"/>
        </w:rPr>
        <w:t>究“稳中向好、进中提质”政</w:t>
      </w:r>
      <w:r>
        <w:rPr>
          <w:color w:val="000000"/>
          <w:kern w:val="0"/>
        </w:rPr>
        <w:t>策清单</w:t>
      </w:r>
      <w:r>
        <w:t>等上级政策，</w:t>
      </w:r>
      <w:r>
        <w:rPr>
          <w:rFonts w:hint="eastAsia"/>
        </w:rPr>
        <w:t>积极</w:t>
      </w:r>
      <w:r>
        <w:t>争取上级无偿资金。建立专</w:t>
      </w:r>
      <w:r>
        <w:rPr>
          <w:rFonts w:hint="eastAsia" w:ascii="仿宋_GB2312" w:hAnsi="仿宋_GB2312" w:eastAsia="仿宋_GB2312" w:cs="仿宋_GB2312"/>
        </w:rPr>
        <w:t>项债项目“包装、储备、发行、合规使用”全链条运作模式，储</w:t>
      </w:r>
      <w:r>
        <w:rPr>
          <w:rFonts w:hint="eastAsia" w:ascii="Times New Roman" w:hAnsi="Times New Roman" w:eastAsia="仿宋_GB2312" w:cs="Times New Roman"/>
          <w:lang w:val="zh-CN"/>
        </w:rPr>
        <w:t>备项目19个，发行专项债券7.2亿元</w:t>
      </w:r>
      <w:r>
        <w:rPr>
          <w:rFonts w:hint="eastAsia" w:ascii="仿宋_GB2312" w:hAnsi="仿宋_GB2312" w:eastAsia="仿宋_GB2312" w:cs="仿宋_GB2312"/>
        </w:rPr>
        <w:t>，全力</w:t>
      </w:r>
      <w:r>
        <w:t>保障中韩自贸区等重点园区</w:t>
      </w:r>
      <w:r>
        <w:rPr>
          <w:rFonts w:hint="eastAsia"/>
        </w:rPr>
        <w:t>建设</w:t>
      </w:r>
      <w: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2" w:firstLineChars="200"/>
        <w:rPr>
          <w:rFonts w:hint="eastAsia" w:ascii="Times New Roman" w:hAnsi="Times New Roman" w:eastAsia="仿宋_GB2312" w:cs="Times New Roman"/>
          <w:lang w:val="zh-CN"/>
        </w:rPr>
      </w:pPr>
      <w:r>
        <w:rPr>
          <w:rFonts w:hint="eastAsia" w:ascii="楷体_GB2312" w:hAnsi="楷体_GB2312" w:eastAsia="楷体_GB2312" w:cs="楷体_GB2312"/>
          <w:snapToGrid w:val="0"/>
          <w:color w:val="000000"/>
        </w:rPr>
        <w:t>（二）提升财金政策效能，保障高质量发展。</w:t>
      </w:r>
      <w:r>
        <w:rPr>
          <w:rFonts w:hint="eastAsia"/>
          <w:b/>
        </w:rPr>
        <w:t>一是</w:t>
      </w:r>
      <w:r>
        <w:rPr>
          <w:b/>
        </w:rPr>
        <w:t>激发基金投资活力。</w:t>
      </w:r>
      <w:r>
        <w:t>设立山东绿色发展基金威海平行基金——威海绿色低碳投资基金，基</w:t>
      </w:r>
      <w:r>
        <w:rPr>
          <w:rFonts w:hint="default" w:ascii="Times New Roman" w:hAnsi="Times New Roman" w:eastAsia="仿宋_GB2312" w:cs="Times New Roman"/>
          <w:lang w:val="zh-CN"/>
        </w:rPr>
        <w:t>金规模</w:t>
      </w:r>
      <w:r>
        <w:rPr>
          <w:rFonts w:hint="eastAsia" w:ascii="Times New Roman" w:hAnsi="Times New Roman" w:eastAsia="仿宋_GB2312" w:cs="Times New Roman"/>
          <w:lang w:val="zh-CN"/>
        </w:rPr>
        <w:t>5亿元。加强政府引导基金政策宣传和尽职调查，充实基金项目库，入库企业突破100家。联合社会资本设立市场化私募基金前海乐土大健康基金，规模10亿元，推</w:t>
      </w:r>
      <w:r>
        <w:rPr>
          <w:rFonts w:hint="eastAsia" w:ascii="仿宋_GB2312" w:hAnsi="仿宋_GB2312" w:eastAsia="仿宋_GB2312" w:cs="仿宋_GB2312"/>
        </w:rPr>
        <w:t>动医</w:t>
      </w:r>
      <w:r>
        <w:rPr>
          <w:bCs/>
          <w:kern w:val="0"/>
          <w:shd w:val="clear" w:color="auto" w:fill="FFFFFF"/>
        </w:rPr>
        <w:t>疗领域基金投资，招引优质项目</w:t>
      </w:r>
      <w:r>
        <w:t>。</w:t>
      </w:r>
      <w:r>
        <w:rPr>
          <w:b/>
        </w:rPr>
        <w:t>二是</w:t>
      </w:r>
      <w:r>
        <w:rPr>
          <w:rFonts w:hint="eastAsia"/>
          <w:b/>
        </w:rPr>
        <w:t>强化政策扶持力度。</w:t>
      </w:r>
      <w:r>
        <w:t>贯彻落实国家稳经济一揽子政策和接续政策，</w:t>
      </w:r>
      <w:r>
        <w:rPr>
          <w:rFonts w:hint="eastAsia"/>
        </w:rPr>
        <w:t>结合</w:t>
      </w:r>
      <w:r>
        <w:t>区域资源禀赋和产业发展特点，</w:t>
      </w:r>
      <w:r>
        <w:rPr>
          <w:rFonts w:hint="eastAsia" w:ascii="仿宋_GB2312" w:hAnsi="仿宋_GB2312" w:eastAsia="仿宋_GB2312" w:cs="仿宋_GB2312"/>
        </w:rPr>
        <w:t>制定出</w:t>
      </w:r>
      <w:r>
        <w:rPr>
          <w:rFonts w:hint="eastAsia" w:ascii="Times New Roman" w:hAnsi="Times New Roman" w:eastAsia="仿宋_GB2312" w:cs="Times New Roman"/>
          <w:lang w:val="zh-CN"/>
        </w:rPr>
        <w:t>台区级绿色低碳高质量发展“1+N”政策。完成留抵退税1.6亿元，兑付涉企资金4200万元，提振企业发</w:t>
      </w:r>
      <w:r>
        <w:t>展信心</w:t>
      </w:r>
      <w:r>
        <w:rPr>
          <w:kern w:val="0"/>
        </w:rPr>
        <w:t>。</w:t>
      </w:r>
      <w:r>
        <w:rPr>
          <w:b/>
        </w:rPr>
        <w:t>三是纾解企业融资困境</w:t>
      </w:r>
      <w:r>
        <w:rPr>
          <w:rFonts w:hint="eastAsia"/>
          <w:b/>
        </w:rPr>
        <w:t>。</w:t>
      </w:r>
      <w:r>
        <w:rPr>
          <w:color w:val="000000"/>
        </w:rPr>
        <w:t>组织银企对接活动，</w:t>
      </w:r>
      <w:r>
        <w:rPr>
          <w:rFonts w:hint="eastAsia"/>
          <w:color w:val="000000"/>
        </w:rPr>
        <w:t>加强</w:t>
      </w:r>
      <w:r>
        <w:rPr>
          <w:color w:val="000000"/>
        </w:rPr>
        <w:t>信贷产品及金融政策宣</w:t>
      </w:r>
      <w:r>
        <w:rPr>
          <w:rFonts w:hint="eastAsia" w:ascii="Times New Roman" w:hAnsi="Times New Roman" w:eastAsia="仿宋_GB2312" w:cs="Times New Roman"/>
          <w:lang w:val="zh-CN"/>
        </w:rPr>
        <w:t>传，为87家企业解决融资需求8.9亿元；推广使用市级“信财银保”平台，480家企业获得融资26亿元；精准</w:t>
      </w:r>
      <w:r>
        <w:rPr>
          <w:rFonts w:hint="eastAsia" w:ascii="仿宋_GB2312" w:hAnsi="仿宋_GB2312" w:eastAsia="仿宋_GB2312" w:cs="仿宋_GB2312"/>
        </w:rPr>
        <w:t>对接农业新型经营主体，新增</w:t>
      </w:r>
      <w:r>
        <w:rPr>
          <w:rFonts w:hint="eastAsia" w:ascii="Times New Roman" w:hAnsi="Times New Roman" w:eastAsia="仿宋_GB2312" w:cs="Times New Roman"/>
          <w:lang w:val="zh-CN"/>
        </w:rPr>
        <w:t>农担贷项目45个，贷款金额7800万元。强化资本市场培育，泓淋电力上市融资19.45亿元。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2" w:firstLineChars="200"/>
        <w:rPr>
          <w:rFonts w:hint="eastAsia" w:ascii="Times New Roman" w:hAnsi="Times New Roman" w:eastAsia="仿宋_GB2312" w:cs="Times New Roman"/>
          <w:lang w:val="zh-CN"/>
        </w:rPr>
      </w:pPr>
      <w:r>
        <w:rPr>
          <w:rFonts w:hint="eastAsia" w:ascii="楷体_GB2312" w:hAnsi="楷体_GB2312" w:eastAsia="楷体_GB2312" w:cs="楷体_GB2312"/>
          <w:snapToGrid w:val="0"/>
          <w:color w:val="000000"/>
        </w:rPr>
        <w:t>（三）推进财政管理创新，扛好理财用财责任。</w:t>
      </w:r>
      <w:r>
        <w:rPr>
          <w:b/>
        </w:rPr>
        <w:t>一是优化支出结构。</w:t>
      </w:r>
      <w:r>
        <w:rPr>
          <w:rFonts w:hint="eastAsia"/>
        </w:rPr>
        <w:t>加强</w:t>
      </w:r>
      <w:r>
        <w:t>财政资金统筹</w:t>
      </w:r>
      <w:r>
        <w:rPr>
          <w:rFonts w:hint="eastAsia"/>
        </w:rPr>
        <w:t>，从严从紧控制运转类项目支出，严控信息化建设支出和加强预算执行控制，提高预算安排的精准度</w:t>
      </w:r>
      <w:r>
        <w:t>。建立常态化存量资金清收机制，</w:t>
      </w:r>
      <w:r>
        <w:rPr>
          <w:rFonts w:hint="default" w:ascii="Times New Roman" w:hAnsi="Times New Roman" w:eastAsia="仿宋_GB2312" w:cs="Times New Roman"/>
          <w:lang w:val="zh-CN"/>
        </w:rPr>
        <w:t>盘活存</w:t>
      </w:r>
      <w:r>
        <w:rPr>
          <w:rFonts w:hint="eastAsia" w:ascii="Times New Roman" w:hAnsi="Times New Roman" w:eastAsia="仿宋_GB2312" w:cs="Times New Roman"/>
          <w:lang w:val="zh-CN"/>
        </w:rPr>
        <w:t>量资金1564万元，集中财力保障“三保”支出及中韩自贸区、西苑片区城市更新等重大项目建设。安排民生支出4亿元，全力保障就业、医疗、养老等民生支出，支持办好智慧社区建设、老旧小区改造等47件民生</w:t>
      </w:r>
      <w:r>
        <w:rPr>
          <w:rFonts w:hint="eastAsia" w:ascii="仿宋_GB2312" w:hAnsi="仿宋_GB2312" w:eastAsia="仿宋_GB2312" w:cs="仿宋_GB2312"/>
        </w:rPr>
        <w:t>实</w:t>
      </w:r>
      <w:r>
        <w:t>事</w:t>
      </w:r>
      <w:r>
        <w:rPr>
          <w:rFonts w:hint="eastAsia"/>
        </w:rPr>
        <w:t>。</w:t>
      </w:r>
      <w:r>
        <w:rPr>
          <w:b/>
        </w:rPr>
        <w:t>二是</w:t>
      </w:r>
      <w:r>
        <w:rPr>
          <w:rFonts w:hint="eastAsia"/>
          <w:b/>
        </w:rPr>
        <w:t>深化</w:t>
      </w:r>
      <w:r>
        <w:rPr>
          <w:b/>
        </w:rPr>
        <w:t>绩效管理</w:t>
      </w:r>
      <w:r>
        <w:rPr>
          <w:rFonts w:hint="eastAsia"/>
          <w:b/>
        </w:rPr>
        <w:t>改革</w:t>
      </w:r>
      <w:r>
        <w:rPr>
          <w:b/>
        </w:rPr>
        <w:t>。</w:t>
      </w:r>
      <w:r>
        <w:rPr>
          <w:rFonts w:hint="eastAsia"/>
        </w:rPr>
        <w:t>扎实</w:t>
      </w:r>
      <w:r>
        <w:t>推进政府投资项目全过程预算绩效管理，健全完善新开工项目事前绩效评估机制，把好项目支出源头管控，上半年学校建设项目</w:t>
      </w:r>
      <w:r>
        <w:rPr>
          <w:rFonts w:hint="default" w:ascii="Times New Roman" w:hAnsi="Times New Roman" w:eastAsia="仿宋_GB2312" w:cs="Times New Roman"/>
          <w:lang w:val="zh-CN"/>
        </w:rPr>
        <w:t>事前评估投资</w:t>
      </w:r>
      <w:r>
        <w:rPr>
          <w:rFonts w:hint="eastAsia" w:ascii="Times New Roman" w:hAnsi="Times New Roman" w:eastAsia="仿宋_GB2312" w:cs="Times New Roman"/>
          <w:lang w:val="zh-CN"/>
        </w:rPr>
        <w:t>压减率33%。启动11个重点项目绩效评价工作，对27个投资项目履约情况开展绩效评价，从资金效益、履约监管等方面发现问题、提出建议。推动成本绩效管理改革，做好学校建设、乡镇卫生院运营等3个项</w:t>
      </w:r>
      <w:r>
        <w:rPr>
          <w:rFonts w:hint="default" w:ascii="Times New Roman" w:hAnsi="Times New Roman" w:eastAsia="仿宋_GB2312" w:cs="Times New Roman"/>
          <w:lang w:val="zh-CN"/>
        </w:rPr>
        <w:t>目成</w:t>
      </w:r>
      <w:r>
        <w:t>本绩效分析，合理节约支出成本。</w:t>
      </w:r>
      <w:r>
        <w:rPr>
          <w:b/>
        </w:rPr>
        <w:t>三是规范财政投资评审。</w:t>
      </w:r>
      <w:r>
        <w:t>创新评审模式，探索使用三维信息建模技术，中韩自贸区产业园青年中心工程</w:t>
      </w:r>
      <w:r>
        <w:rPr>
          <w:color w:val="000000"/>
          <w:kern w:val="0"/>
        </w:rPr>
        <w:t>入选省级“揭榜挂帅”工程造价改革试点。</w:t>
      </w:r>
      <w:r>
        <w:t>主动对接、靠前服务，</w:t>
      </w:r>
      <w:r>
        <w:rPr>
          <w:rFonts w:hint="default" w:ascii="Times New Roman" w:hAnsi="Times New Roman" w:eastAsia="仿宋_GB2312" w:cs="Times New Roman"/>
          <w:lang w:val="zh-CN"/>
        </w:rPr>
        <w:t>严格落实限时评审制度，提高项目评审质效，上半年评审资</w:t>
      </w:r>
      <w:r>
        <w:rPr>
          <w:rFonts w:hint="eastAsia" w:ascii="Times New Roman" w:hAnsi="Times New Roman" w:eastAsia="仿宋_GB2312" w:cs="Times New Roman"/>
          <w:lang w:val="zh-CN"/>
        </w:rPr>
        <w:t>金12.1亿元，审减率10.9%。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2" w:firstLineChars="200"/>
      </w:pPr>
      <w:r>
        <w:rPr>
          <w:rFonts w:hint="eastAsia" w:ascii="楷体_GB2312" w:hAnsi="楷体_GB2312" w:eastAsia="楷体_GB2312" w:cs="楷体_GB2312"/>
          <w:snapToGrid w:val="0"/>
          <w:color w:val="000000"/>
        </w:rPr>
        <w:t>（四）严控财政金融风险，切实筑牢安全防线。</w:t>
      </w:r>
      <w:r>
        <w:rPr>
          <w:b/>
        </w:rPr>
        <w:t>一是防范化解</w:t>
      </w:r>
      <w:r>
        <w:rPr>
          <w:rFonts w:hint="eastAsia"/>
          <w:b/>
        </w:rPr>
        <w:t>政府</w:t>
      </w:r>
      <w:r>
        <w:rPr>
          <w:b/>
        </w:rPr>
        <w:t>债务风险。</w:t>
      </w:r>
      <w:r>
        <w:t>稳妥有序化解</w:t>
      </w:r>
      <w:r>
        <w:rPr>
          <w:rFonts w:hint="default" w:ascii="Times New Roman" w:hAnsi="Times New Roman" w:eastAsia="仿宋_GB2312" w:cs="Times New Roman"/>
          <w:lang w:val="zh-CN"/>
        </w:rPr>
        <w:t>存量债务，发行再融资债券</w:t>
      </w:r>
      <w:r>
        <w:rPr>
          <w:rFonts w:hint="eastAsia" w:ascii="Times New Roman" w:hAnsi="Times New Roman" w:eastAsia="仿宋_GB2312" w:cs="Times New Roman"/>
          <w:lang w:val="zh-CN"/>
        </w:rPr>
        <w:t>1.8亿元，多渠</w:t>
      </w:r>
      <w:r>
        <w:rPr>
          <w:rFonts w:hint="default" w:ascii="Times New Roman" w:hAnsi="Times New Roman" w:eastAsia="仿宋_GB2312" w:cs="Times New Roman"/>
          <w:lang w:val="zh-CN"/>
        </w:rPr>
        <w:t>道化</w:t>
      </w:r>
      <w:r>
        <w:rPr>
          <w:rFonts w:hint="eastAsia" w:ascii="Times New Roman" w:hAnsi="Times New Roman" w:eastAsia="仿宋_GB2312" w:cs="Times New Roman"/>
          <w:lang w:val="zh-CN"/>
        </w:rPr>
        <w:t>债3.3亿元，</w:t>
      </w:r>
      <w:r>
        <w:rPr>
          <w:rFonts w:hint="default" w:ascii="Times New Roman" w:hAnsi="Times New Roman" w:eastAsia="仿宋_GB2312" w:cs="Times New Roman"/>
          <w:lang w:val="zh-CN"/>
        </w:rPr>
        <w:t>债务风险整体可控。从严控制政府投资项目，规范平台公司融资行为，守住不发生系统性</w:t>
      </w:r>
      <w:r>
        <w:t>债务风险底线。</w:t>
      </w:r>
      <w:r>
        <w:rPr>
          <w:rFonts w:hint="eastAsia" w:ascii="仿宋_GB2312" w:hAnsi="仿宋"/>
          <w:b/>
          <w:szCs w:val="20"/>
        </w:rPr>
        <w:t>二是切实兜牢“三保”底线。</w:t>
      </w:r>
      <w:r>
        <w:rPr>
          <w:rFonts w:hint="eastAsia"/>
        </w:rPr>
        <w:t>坚持“三保”支出优先顺序，做足“三保”支出预算，加强财政风险监测，财政运行平稳有序。</w:t>
      </w:r>
      <w:r>
        <w:rPr>
          <w:rFonts w:hint="eastAsia" w:ascii="仿宋_GB2312" w:hAnsi="仿宋"/>
          <w:b/>
          <w:szCs w:val="20"/>
        </w:rPr>
        <w:t>三</w:t>
      </w:r>
      <w:r>
        <w:rPr>
          <w:rFonts w:ascii="仿宋_GB2312" w:hAnsi="仿宋"/>
          <w:b/>
          <w:szCs w:val="20"/>
        </w:rPr>
        <w:t>是</w:t>
      </w:r>
      <w:r>
        <w:rPr>
          <w:rFonts w:hint="eastAsia" w:ascii="仿宋_GB2312" w:hAnsi="仿宋"/>
          <w:b/>
          <w:szCs w:val="20"/>
        </w:rPr>
        <w:t>加大安全维稳</w:t>
      </w:r>
      <w:r>
        <w:rPr>
          <w:rFonts w:ascii="仿宋_GB2312" w:hAnsi="仿宋"/>
          <w:b/>
          <w:szCs w:val="20"/>
        </w:rPr>
        <w:t>财力保障</w:t>
      </w:r>
      <w:r>
        <w:rPr>
          <w:rFonts w:hint="eastAsia" w:ascii="仿宋_GB2312" w:hAnsi="仿宋"/>
          <w:b/>
          <w:szCs w:val="20"/>
        </w:rPr>
        <w:t>。</w:t>
      </w:r>
      <w:r>
        <w:t>强化安全生产专业监管、智慧监管</w:t>
      </w:r>
      <w:r>
        <w:rPr>
          <w:rFonts w:hint="eastAsia"/>
        </w:rPr>
        <w:t>和</w:t>
      </w:r>
      <w:r>
        <w:t>重点领域常态监管，完善智慧城市</w:t>
      </w:r>
      <w:r>
        <w:rPr>
          <w:rFonts w:hint="eastAsia"/>
        </w:rPr>
        <w:t>管理</w:t>
      </w:r>
      <w:r>
        <w:t>平台功能，抓实抓牢渔船管控、防火防汛</w:t>
      </w:r>
      <w:r>
        <w:rPr>
          <w:rFonts w:hint="eastAsia"/>
        </w:rPr>
        <w:t>、</w:t>
      </w:r>
      <w:r>
        <w:t>食品药品</w:t>
      </w:r>
      <w:r>
        <w:rPr>
          <w:rFonts w:hint="eastAsia"/>
        </w:rPr>
        <w:t>安全</w:t>
      </w:r>
      <w:r>
        <w:t>等十大公共领域风险防控，社会大局和谐稳定。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2" w:firstLineChars="200"/>
        <w:rPr>
          <w:rFonts w:eastAsia="黑体"/>
        </w:rPr>
      </w:pPr>
      <w:r>
        <w:rPr>
          <w:rFonts w:eastAsia="黑体"/>
        </w:rPr>
        <w:t>三、</w:t>
      </w:r>
      <w:r>
        <w:rPr>
          <w:rFonts w:hint="default" w:ascii="Times New Roman" w:hAnsi="Times New Roman" w:eastAsia="仿宋_GB2312" w:cs="Times New Roman"/>
          <w:lang w:val="zh-CN"/>
        </w:rPr>
        <w:t>202</w:t>
      </w:r>
      <w:r>
        <w:rPr>
          <w:rFonts w:hint="eastAsia" w:ascii="Times New Roman" w:hAnsi="Times New Roman" w:eastAsia="仿宋_GB2312" w:cs="Times New Roman"/>
          <w:lang w:val="zh-CN"/>
        </w:rPr>
        <w:t>3</w:t>
      </w:r>
      <w:r>
        <w:rPr>
          <w:rFonts w:eastAsia="黑体"/>
        </w:rPr>
        <w:t>年下半年财政工作重点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2" w:firstLineChars="200"/>
        <w:rPr>
          <w:bCs/>
        </w:rPr>
      </w:pPr>
      <w:r>
        <w:rPr>
          <w:rFonts w:hint="eastAsia" w:ascii="楷体_GB2312" w:hAnsi="楷体_GB2312" w:eastAsia="楷体_GB2312" w:cs="楷体_GB2312"/>
          <w:snapToGrid w:val="0"/>
          <w:color w:val="000000"/>
        </w:rPr>
        <w:t>（一）坚持开源挖潜，在更大强度统筹财政资源上加力提效。</w:t>
      </w:r>
      <w:r>
        <w:rPr>
          <w:rFonts w:hint="eastAsia" w:ascii="仿宋_GB2312"/>
          <w:b/>
        </w:rPr>
        <w:t>一是加强税收征管。</w:t>
      </w:r>
      <w:r>
        <w:t>分析研判经济形势，深化部门协作，</w:t>
      </w:r>
      <w:r>
        <w:rPr>
          <w:rFonts w:hint="eastAsia"/>
        </w:rPr>
        <w:t>进一步推进</w:t>
      </w:r>
      <w:r>
        <w:t>综合治税，强化税费监管，形成税收共治强大合力，最大限度挖掘税源潜力。</w:t>
      </w:r>
      <w:r>
        <w:rPr>
          <w:rFonts w:hint="eastAsia"/>
          <w:b/>
        </w:rPr>
        <w:t>二是争取专项债券。</w:t>
      </w:r>
      <w:r>
        <w:rPr>
          <w:bCs/>
        </w:rPr>
        <w:t>提前谋划储备地方政府债券项目，从传统园区建设项目到突出智能化、科技化创新产业园项目，强化项目谋划、包装、筛选、论证，形成完备的专项债券项目库，全力争取专项债券资金，保障区级重点项目建设。</w:t>
      </w:r>
      <w:r>
        <w:rPr>
          <w:rFonts w:hint="eastAsia"/>
          <w:b/>
        </w:rPr>
        <w:t>三是</w:t>
      </w:r>
      <w:r>
        <w:rPr>
          <w:b/>
        </w:rPr>
        <w:t>做大土地财源</w:t>
      </w:r>
      <w:r>
        <w:rPr>
          <w:rFonts w:hint="eastAsia"/>
          <w:b/>
        </w:rPr>
        <w:t>。</w:t>
      </w:r>
      <w:r>
        <w:t>利用“工改工”都市新型精致产业园开发建设的独有优势，打造可复制、可推广的试点样板，加快经营性用地出让和收入收缴进度</w:t>
      </w:r>
      <w:r>
        <w:rPr>
          <w:bCs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2" w:firstLineChars="200"/>
        <w:rPr>
          <w:bCs/>
        </w:rPr>
      </w:pPr>
      <w:r>
        <w:rPr>
          <w:rFonts w:hint="eastAsia" w:ascii="楷体_GB2312" w:hAnsi="楷体_GB2312" w:eastAsia="楷体_GB2312" w:cs="楷体_GB2312"/>
          <w:snapToGrid w:val="0"/>
          <w:color w:val="000000"/>
        </w:rPr>
        <w:t>（二）坚持统筹兼顾，在更好服务高质量发展上加力提效。</w:t>
      </w:r>
      <w:r>
        <w:rPr>
          <w:rFonts w:hint="eastAsia"/>
          <w:b/>
          <w:bCs/>
        </w:rPr>
        <w:t>一是规范各类基金投资。</w:t>
      </w:r>
      <w:r>
        <w:rPr>
          <w:bCs/>
        </w:rPr>
        <w:t>强化引导基金直接投资</w:t>
      </w:r>
      <w:r>
        <w:rPr>
          <w:rFonts w:hint="eastAsia"/>
          <w:bCs/>
        </w:rPr>
        <w:t>，</w:t>
      </w:r>
      <w:r>
        <w:rPr>
          <w:bCs/>
        </w:rPr>
        <w:t>严格投资尽职调查，</w:t>
      </w:r>
      <w:r>
        <w:rPr>
          <w:rFonts w:hint="eastAsia"/>
          <w:bCs/>
        </w:rPr>
        <w:t>完</w:t>
      </w:r>
      <w:r>
        <w:rPr>
          <w:rFonts w:hint="eastAsia" w:ascii="Times New Roman" w:hAnsi="Times New Roman" w:eastAsia="仿宋_GB2312" w:cs="Times New Roman"/>
          <w:lang w:val="zh-CN"/>
        </w:rPr>
        <w:t>成5家重</w:t>
      </w:r>
      <w:r>
        <w:rPr>
          <w:rFonts w:hint="eastAsia" w:ascii="仿宋_GB2312" w:hAnsi="仿宋_GB2312" w:eastAsia="仿宋_GB2312" w:cs="仿宋_GB2312"/>
        </w:rPr>
        <w:t>点企业资金投放。充分发挥山发绿色基金作用，推荐投资区内优质企业。</w:t>
      </w:r>
      <w:r>
        <w:rPr>
          <w:bCs/>
        </w:rPr>
        <w:t>推动瑾元股权投资基金对山东瑞翼德科技的股权投资尽早落地，带动社会资本投入，招引优质项目落地经区。</w:t>
      </w:r>
      <w:r>
        <w:rPr>
          <w:rFonts w:hint="eastAsia"/>
          <w:b/>
          <w:bCs/>
        </w:rPr>
        <w:t>二是</w:t>
      </w:r>
      <w:r>
        <w:rPr>
          <w:rFonts w:hint="eastAsia"/>
          <w:b/>
        </w:rPr>
        <w:t>实施积极的财政政策。</w:t>
      </w:r>
      <w:r>
        <w:t>整合科技</w:t>
      </w:r>
      <w:r>
        <w:rPr>
          <w:rFonts w:hint="eastAsia"/>
        </w:rPr>
        <w:t>扶持</w:t>
      </w:r>
      <w:r>
        <w:t>资金</w:t>
      </w:r>
      <w:r>
        <w:rPr>
          <w:bCs/>
        </w:rPr>
        <w:t>，支持创新驱动，保障产学研合作项目</w:t>
      </w:r>
      <w:r>
        <w:rPr>
          <w:rFonts w:hint="eastAsia"/>
        </w:rPr>
        <w:t>。</w:t>
      </w:r>
      <w:r>
        <w:t>落实</w:t>
      </w:r>
      <w:r>
        <w:rPr>
          <w:rFonts w:hint="eastAsia"/>
        </w:rPr>
        <w:t>先进制造业、内外贸高质量发展</w:t>
      </w:r>
      <w:r>
        <w:t>政策</w:t>
      </w:r>
      <w:r>
        <w:rPr>
          <w:rFonts w:hint="eastAsia"/>
        </w:rPr>
        <w:t>，</w:t>
      </w:r>
      <w:r>
        <w:rPr>
          <w:bCs/>
        </w:rPr>
        <w:t>支持</w:t>
      </w:r>
      <w:r>
        <w:rPr>
          <w:rFonts w:hint="eastAsia"/>
          <w:bCs/>
        </w:rPr>
        <w:t>骨干</w:t>
      </w:r>
      <w:r>
        <w:rPr>
          <w:bCs/>
        </w:rPr>
        <w:t>企业</w:t>
      </w:r>
      <w:r>
        <w:rPr>
          <w:rFonts w:hint="eastAsia"/>
          <w:bCs/>
        </w:rPr>
        <w:t>膨胀，</w:t>
      </w:r>
      <w:r>
        <w:t>培育带动产业发展</w:t>
      </w:r>
      <w:r>
        <w:rPr>
          <w:rFonts w:hint="eastAsia"/>
        </w:rPr>
        <w:t>，</w:t>
      </w:r>
      <w:r>
        <w:t>促进招商引资和项目落地</w:t>
      </w:r>
      <w:r>
        <w:rPr>
          <w:bCs/>
        </w:rPr>
        <w:t>。</w:t>
      </w:r>
      <w:r>
        <w:rPr>
          <w:rFonts w:hint="eastAsia"/>
          <w:b/>
          <w:bCs/>
        </w:rPr>
        <w:t>三是</w:t>
      </w:r>
      <w:r>
        <w:rPr>
          <w:b/>
          <w:bCs/>
        </w:rPr>
        <w:t>加强</w:t>
      </w:r>
      <w:r>
        <w:rPr>
          <w:rFonts w:hint="eastAsia"/>
          <w:b/>
          <w:bCs/>
        </w:rPr>
        <w:t>企业信贷支持。</w:t>
      </w:r>
      <w:r>
        <w:rPr>
          <w:bCs/>
        </w:rPr>
        <w:t>推行金融管家定制服务</w:t>
      </w:r>
      <w:r>
        <w:rPr>
          <w:rFonts w:hint="eastAsia"/>
          <w:bCs/>
        </w:rPr>
        <w:t>，</w:t>
      </w:r>
      <w:r>
        <w:rPr>
          <w:bCs/>
        </w:rPr>
        <w:t>组</w:t>
      </w:r>
      <w:r>
        <w:t>织分区域、分行业银企对接活动</w:t>
      </w:r>
      <w:r>
        <w:rPr>
          <w:rFonts w:hint="eastAsia"/>
          <w:color w:val="000000"/>
          <w:shd w:val="clear" w:color="auto" w:fill="FFFFFF"/>
        </w:rPr>
        <w:t>，</w:t>
      </w:r>
      <w:r>
        <w:rPr>
          <w:color w:val="000000"/>
        </w:rPr>
        <w:t>抓好小微企业“首贷”培植，指导银行加大贷款投放力度</w:t>
      </w:r>
      <w:r>
        <w:rPr>
          <w:rFonts w:hint="eastAsi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2" w:firstLineChars="200"/>
        <w:rPr>
          <w:rFonts w:hint="default" w:ascii="Times New Roman" w:hAnsi="Times New Roman" w:eastAsia="仿宋_GB2312" w:cs="Times New Roman"/>
          <w:lang w:val="zh-CN"/>
        </w:rPr>
      </w:pPr>
      <w:bookmarkStart w:id="0" w:name="_GoBack"/>
      <w:r>
        <w:rPr>
          <w:rFonts w:hint="eastAsia" w:ascii="楷体_GB2312" w:hAnsi="楷体_GB2312" w:eastAsia="楷体_GB2312" w:cs="楷体_GB2312"/>
          <w:snapToGrid w:val="0"/>
          <w:color w:val="000000"/>
        </w:rPr>
        <w:t>（三）坚持多措并举，在强化改革创新引领上加力提效。</w:t>
      </w:r>
      <w:bookmarkEnd w:id="0"/>
      <w:r>
        <w:rPr>
          <w:rFonts w:hint="eastAsia" w:ascii="仿宋_GB2312"/>
          <w:b/>
        </w:rPr>
        <w:t>一是健全预算管理体系。</w:t>
      </w:r>
      <w:r>
        <w:t>推进预算管理一体化</w:t>
      </w:r>
      <w:r>
        <w:rPr>
          <w:rFonts w:hint="eastAsia"/>
        </w:rPr>
        <w:t>系统</w:t>
      </w:r>
      <w:r>
        <w:t>提档升级，加快形成标准统一、运行规范、上下贯通的预算管理新格局。尽早着</w:t>
      </w:r>
      <w:r>
        <w:rPr>
          <w:rFonts w:hint="default" w:ascii="Times New Roman" w:hAnsi="Times New Roman" w:eastAsia="仿宋_GB2312" w:cs="Times New Roman"/>
          <w:lang w:val="zh-CN"/>
        </w:rPr>
        <w:t>手</w:t>
      </w:r>
      <w:r>
        <w:rPr>
          <w:rFonts w:hint="eastAsia" w:ascii="Times New Roman" w:hAnsi="Times New Roman" w:eastAsia="仿宋_GB2312" w:cs="Times New Roman"/>
          <w:lang w:val="zh-CN"/>
        </w:rPr>
        <w:t>2024年预</w:t>
      </w:r>
      <w:r>
        <w:t>算编制，将区级重点项目优先纳入预算予以保障，为明年工作开好局奠定坚实基础。</w:t>
      </w:r>
      <w:r>
        <w:rPr>
          <w:rFonts w:hint="eastAsia"/>
          <w:b/>
        </w:rPr>
        <w:t>二是</w:t>
      </w:r>
      <w:r>
        <w:rPr>
          <w:b/>
        </w:rPr>
        <w:t>提升绩效管理效能</w:t>
      </w:r>
      <w:r>
        <w:rPr>
          <w:rFonts w:hint="eastAsia"/>
          <w:b/>
        </w:rPr>
        <w:t>。</w:t>
      </w:r>
      <w:r>
        <w:t>完善事前绩效评估管理办法，出台成本绩效管理操作规程，增强预算决策的科学性。健全绩效导向的预算分配体系，加强绩效结果应用，削减低效无效资金。</w:t>
      </w:r>
      <w:r>
        <w:rPr>
          <w:rFonts w:hint="eastAsia"/>
          <w:b/>
        </w:rPr>
        <w:t>三是深化国资国企改革。</w:t>
      </w:r>
      <w:r>
        <w:t>强化</w:t>
      </w:r>
      <w:r>
        <w:rPr>
          <w:rFonts w:hint="eastAsia"/>
        </w:rPr>
        <w:t>国有</w:t>
      </w:r>
      <w:r>
        <w:t>资产管理</w:t>
      </w:r>
      <w:r>
        <w:rPr>
          <w:rFonts w:hint="eastAsia"/>
        </w:rPr>
        <w:t>，</w:t>
      </w:r>
      <w:r>
        <w:t>通过创新调剂、市场化转让、匹配国企注资、出租等方式盘活各类国有资产，实现资产高效运转。打造“虚拟＋实体”的公物仓体系，推动资产共享共用。</w:t>
      </w:r>
      <w:r>
        <w:rPr>
          <w:rFonts w:hint="eastAsia"/>
        </w:rPr>
        <w:t>扎实推进国企改革，</w:t>
      </w:r>
      <w:r>
        <w:t>明确市场化运营方向，</w:t>
      </w:r>
      <w:r>
        <w:rPr>
          <w:rFonts w:hint="eastAsia" w:ascii="Times New Roman" w:hAnsi="Times New Roman" w:eastAsia="仿宋_GB2312" w:cs="Times New Roman"/>
          <w:lang w:val="zh-CN"/>
        </w:rPr>
        <w:t>强化创新驱动，</w:t>
      </w:r>
      <w:r>
        <w:rPr>
          <w:rFonts w:hint="default" w:ascii="Times New Roman" w:hAnsi="Times New Roman" w:eastAsia="仿宋_GB2312" w:cs="Times New Roman"/>
          <w:lang w:val="zh-CN"/>
        </w:rPr>
        <w:t>提升</w:t>
      </w:r>
      <w:r>
        <w:rPr>
          <w:rFonts w:hint="eastAsia" w:ascii="Times New Roman" w:hAnsi="Times New Roman" w:eastAsia="仿宋_GB2312" w:cs="Times New Roman"/>
          <w:lang w:val="zh-CN"/>
        </w:rPr>
        <w:t>国企核心竞争力和</w:t>
      </w:r>
      <w:r>
        <w:rPr>
          <w:rFonts w:hint="default" w:ascii="Times New Roman" w:hAnsi="Times New Roman" w:eastAsia="仿宋_GB2312" w:cs="Times New Roman"/>
          <w:lang w:val="zh-CN"/>
        </w:rPr>
        <w:t>自主经营能力。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2" w:firstLineChars="200"/>
        <w:rPr>
          <w:rFonts w:hint="default" w:ascii="Times New Roman" w:hAnsi="Times New Roman" w:eastAsia="仿宋_GB2312" w:cs="Times New Roman"/>
          <w:lang w:val="zh-CN"/>
        </w:rPr>
      </w:pPr>
      <w:r>
        <w:rPr>
          <w:rFonts w:hint="default" w:ascii="Times New Roman" w:hAnsi="Times New Roman" w:eastAsia="仿宋_GB2312" w:cs="Times New Roman"/>
          <w:lang w:val="zh-CN"/>
        </w:rPr>
        <w:t>主任，各位副主任，秘书长，各位委员，做好下半年财政工作责任重大，我们将在市委、市政府的坚强领导下，认真贯彻落实市十八届人大</w:t>
      </w:r>
      <w:r>
        <w:rPr>
          <w:rFonts w:hint="eastAsia" w:ascii="Times New Roman" w:hAnsi="Times New Roman" w:eastAsia="仿宋_GB2312" w:cs="Times New Roman"/>
          <w:lang w:val="zh-CN"/>
        </w:rPr>
        <w:t>三</w:t>
      </w:r>
      <w:r>
        <w:rPr>
          <w:rFonts w:hint="default" w:ascii="Times New Roman" w:hAnsi="Times New Roman" w:eastAsia="仿宋_GB2312" w:cs="Times New Roman"/>
          <w:lang w:val="zh-CN"/>
        </w:rPr>
        <w:t>次会议和本次会议决议，锐意进取，真抓实干，开拓创新，为全区经济社会发展作出新的更大贡献。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szCs w:val="24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szCs w:val="24"/>
        </w:rPr>
      </w:pPr>
    </w:p>
    <w:sectPr>
      <w:footerReference r:id="rId3" w:type="default"/>
      <w:footerReference r:id="rId4" w:type="even"/>
      <w:pgSz w:w="11906" w:h="16838"/>
      <w:pgMar w:top="2098" w:right="1474" w:bottom="1871" w:left="1588" w:header="851" w:footer="1418" w:gutter="0"/>
      <w:cols w:space="720" w:num="1"/>
      <w:titlePg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7560" w:firstLineChars="2700"/>
      <w:rPr>
        <w:rFonts w:ascii="宋体" w:hAnsi="宋体" w:eastAsia="宋体"/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evenAndOddHeaders w:val="1"/>
  <w:drawingGridHorizontalSpacing w:val="158"/>
  <w:drawingGridVerticalSpacing w:val="579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3CE6"/>
    <w:rsid w:val="00001DEB"/>
    <w:rsid w:val="00005241"/>
    <w:rsid w:val="00012CBF"/>
    <w:rsid w:val="00014D90"/>
    <w:rsid w:val="0002465C"/>
    <w:rsid w:val="000330BA"/>
    <w:rsid w:val="00037E5F"/>
    <w:rsid w:val="000402D4"/>
    <w:rsid w:val="00047FF0"/>
    <w:rsid w:val="00054966"/>
    <w:rsid w:val="0006235C"/>
    <w:rsid w:val="000704B3"/>
    <w:rsid w:val="0007156C"/>
    <w:rsid w:val="000755D2"/>
    <w:rsid w:val="000805C0"/>
    <w:rsid w:val="00080ED7"/>
    <w:rsid w:val="000B5999"/>
    <w:rsid w:val="000C5D05"/>
    <w:rsid w:val="000C6F34"/>
    <w:rsid w:val="000D17BC"/>
    <w:rsid w:val="000E2475"/>
    <w:rsid w:val="000E49C6"/>
    <w:rsid w:val="000F277D"/>
    <w:rsid w:val="000F412E"/>
    <w:rsid w:val="000F45F0"/>
    <w:rsid w:val="000F479F"/>
    <w:rsid w:val="0010419E"/>
    <w:rsid w:val="00104593"/>
    <w:rsid w:val="00112DFF"/>
    <w:rsid w:val="001168C0"/>
    <w:rsid w:val="00123D38"/>
    <w:rsid w:val="001308BD"/>
    <w:rsid w:val="00135B3D"/>
    <w:rsid w:val="00144AE0"/>
    <w:rsid w:val="00145F44"/>
    <w:rsid w:val="0014604E"/>
    <w:rsid w:val="00154030"/>
    <w:rsid w:val="00154AF7"/>
    <w:rsid w:val="00154B56"/>
    <w:rsid w:val="001655F0"/>
    <w:rsid w:val="0018585C"/>
    <w:rsid w:val="00185EC4"/>
    <w:rsid w:val="0019164D"/>
    <w:rsid w:val="001924F4"/>
    <w:rsid w:val="001974BE"/>
    <w:rsid w:val="001C069C"/>
    <w:rsid w:val="001C1BF8"/>
    <w:rsid w:val="001D70A0"/>
    <w:rsid w:val="001E39C7"/>
    <w:rsid w:val="001E6B86"/>
    <w:rsid w:val="001F3609"/>
    <w:rsid w:val="001F3FF3"/>
    <w:rsid w:val="001F6EE8"/>
    <w:rsid w:val="00201040"/>
    <w:rsid w:val="0020607A"/>
    <w:rsid w:val="00214D2E"/>
    <w:rsid w:val="00215950"/>
    <w:rsid w:val="00216589"/>
    <w:rsid w:val="00217B9A"/>
    <w:rsid w:val="0022095D"/>
    <w:rsid w:val="002266F3"/>
    <w:rsid w:val="00263247"/>
    <w:rsid w:val="00273DCD"/>
    <w:rsid w:val="00274456"/>
    <w:rsid w:val="00280F51"/>
    <w:rsid w:val="00290D16"/>
    <w:rsid w:val="0029163F"/>
    <w:rsid w:val="00294E94"/>
    <w:rsid w:val="00297D42"/>
    <w:rsid w:val="002A5908"/>
    <w:rsid w:val="002A626C"/>
    <w:rsid w:val="002A7F17"/>
    <w:rsid w:val="002C3BF9"/>
    <w:rsid w:val="002D5572"/>
    <w:rsid w:val="002E0A26"/>
    <w:rsid w:val="002E413D"/>
    <w:rsid w:val="002E7EFB"/>
    <w:rsid w:val="002F1481"/>
    <w:rsid w:val="0030546B"/>
    <w:rsid w:val="003145B8"/>
    <w:rsid w:val="00315FE2"/>
    <w:rsid w:val="003221C3"/>
    <w:rsid w:val="00334EEF"/>
    <w:rsid w:val="00335CC2"/>
    <w:rsid w:val="0034381F"/>
    <w:rsid w:val="00343ABE"/>
    <w:rsid w:val="00343C02"/>
    <w:rsid w:val="00347207"/>
    <w:rsid w:val="00347902"/>
    <w:rsid w:val="00351C6A"/>
    <w:rsid w:val="003530AA"/>
    <w:rsid w:val="00354CE1"/>
    <w:rsid w:val="0036476F"/>
    <w:rsid w:val="00364BFB"/>
    <w:rsid w:val="003662A5"/>
    <w:rsid w:val="0037211B"/>
    <w:rsid w:val="003777E6"/>
    <w:rsid w:val="00377DA6"/>
    <w:rsid w:val="00385C7A"/>
    <w:rsid w:val="00397E9C"/>
    <w:rsid w:val="003A05EE"/>
    <w:rsid w:val="003A53D2"/>
    <w:rsid w:val="003A7E62"/>
    <w:rsid w:val="003B1B4E"/>
    <w:rsid w:val="003C2CE8"/>
    <w:rsid w:val="003D72DA"/>
    <w:rsid w:val="003E58CB"/>
    <w:rsid w:val="003E5B2F"/>
    <w:rsid w:val="00401144"/>
    <w:rsid w:val="00403599"/>
    <w:rsid w:val="004167AB"/>
    <w:rsid w:val="00416FB4"/>
    <w:rsid w:val="00417B33"/>
    <w:rsid w:val="00425623"/>
    <w:rsid w:val="0043641D"/>
    <w:rsid w:val="00443A75"/>
    <w:rsid w:val="00446EA1"/>
    <w:rsid w:val="00451506"/>
    <w:rsid w:val="00456589"/>
    <w:rsid w:val="004644E8"/>
    <w:rsid w:val="004649E9"/>
    <w:rsid w:val="00467214"/>
    <w:rsid w:val="0046779C"/>
    <w:rsid w:val="0047160E"/>
    <w:rsid w:val="00472896"/>
    <w:rsid w:val="004779E8"/>
    <w:rsid w:val="00477BE2"/>
    <w:rsid w:val="00490F87"/>
    <w:rsid w:val="00493577"/>
    <w:rsid w:val="004C0E32"/>
    <w:rsid w:val="004C3B54"/>
    <w:rsid w:val="004C4DC0"/>
    <w:rsid w:val="004D0468"/>
    <w:rsid w:val="004D4981"/>
    <w:rsid w:val="004D659C"/>
    <w:rsid w:val="004E0E07"/>
    <w:rsid w:val="004E1FEB"/>
    <w:rsid w:val="004E74F5"/>
    <w:rsid w:val="004F02EC"/>
    <w:rsid w:val="004F1F26"/>
    <w:rsid w:val="00503C8F"/>
    <w:rsid w:val="00505CB5"/>
    <w:rsid w:val="00526B6B"/>
    <w:rsid w:val="00533B97"/>
    <w:rsid w:val="0053514F"/>
    <w:rsid w:val="005409C1"/>
    <w:rsid w:val="005452DB"/>
    <w:rsid w:val="0055095B"/>
    <w:rsid w:val="0055324D"/>
    <w:rsid w:val="005534AF"/>
    <w:rsid w:val="00557010"/>
    <w:rsid w:val="005573C9"/>
    <w:rsid w:val="0056118B"/>
    <w:rsid w:val="00566641"/>
    <w:rsid w:val="00570E8C"/>
    <w:rsid w:val="00571697"/>
    <w:rsid w:val="00576CF0"/>
    <w:rsid w:val="005832CA"/>
    <w:rsid w:val="005919C3"/>
    <w:rsid w:val="00596D94"/>
    <w:rsid w:val="00597029"/>
    <w:rsid w:val="005B03F2"/>
    <w:rsid w:val="005C1359"/>
    <w:rsid w:val="005C5131"/>
    <w:rsid w:val="005D1C06"/>
    <w:rsid w:val="005D1E92"/>
    <w:rsid w:val="005D703A"/>
    <w:rsid w:val="005E1263"/>
    <w:rsid w:val="005F1EAD"/>
    <w:rsid w:val="005F4751"/>
    <w:rsid w:val="006010F1"/>
    <w:rsid w:val="0060426C"/>
    <w:rsid w:val="00604717"/>
    <w:rsid w:val="00613D91"/>
    <w:rsid w:val="00613DA9"/>
    <w:rsid w:val="00614D40"/>
    <w:rsid w:val="0065034A"/>
    <w:rsid w:val="0065642A"/>
    <w:rsid w:val="00657B69"/>
    <w:rsid w:val="00667553"/>
    <w:rsid w:val="0067601D"/>
    <w:rsid w:val="00676C94"/>
    <w:rsid w:val="006940B1"/>
    <w:rsid w:val="00694E67"/>
    <w:rsid w:val="00697F97"/>
    <w:rsid w:val="006A35F1"/>
    <w:rsid w:val="006A7CB3"/>
    <w:rsid w:val="006B4B82"/>
    <w:rsid w:val="006C5932"/>
    <w:rsid w:val="006E1D32"/>
    <w:rsid w:val="006E5CA2"/>
    <w:rsid w:val="006E66AE"/>
    <w:rsid w:val="006E7B74"/>
    <w:rsid w:val="006F67E1"/>
    <w:rsid w:val="00703195"/>
    <w:rsid w:val="007054D9"/>
    <w:rsid w:val="00710201"/>
    <w:rsid w:val="00713254"/>
    <w:rsid w:val="00715344"/>
    <w:rsid w:val="00720084"/>
    <w:rsid w:val="00736CE7"/>
    <w:rsid w:val="00743756"/>
    <w:rsid w:val="00745413"/>
    <w:rsid w:val="007455C9"/>
    <w:rsid w:val="0074565B"/>
    <w:rsid w:val="007458A4"/>
    <w:rsid w:val="007468C2"/>
    <w:rsid w:val="00752B5A"/>
    <w:rsid w:val="00753C33"/>
    <w:rsid w:val="007566AE"/>
    <w:rsid w:val="00761236"/>
    <w:rsid w:val="00764C17"/>
    <w:rsid w:val="007658F9"/>
    <w:rsid w:val="007660A6"/>
    <w:rsid w:val="00770085"/>
    <w:rsid w:val="0077158A"/>
    <w:rsid w:val="007718D3"/>
    <w:rsid w:val="007876A3"/>
    <w:rsid w:val="00793CCB"/>
    <w:rsid w:val="007A062C"/>
    <w:rsid w:val="007B4343"/>
    <w:rsid w:val="007B4757"/>
    <w:rsid w:val="007C1942"/>
    <w:rsid w:val="007C7F98"/>
    <w:rsid w:val="007D2BFE"/>
    <w:rsid w:val="007D656E"/>
    <w:rsid w:val="007D762D"/>
    <w:rsid w:val="007E0616"/>
    <w:rsid w:val="007E558F"/>
    <w:rsid w:val="007E639D"/>
    <w:rsid w:val="007F4BA7"/>
    <w:rsid w:val="00801726"/>
    <w:rsid w:val="008170B3"/>
    <w:rsid w:val="008325EB"/>
    <w:rsid w:val="00832BFC"/>
    <w:rsid w:val="00833FCB"/>
    <w:rsid w:val="00834317"/>
    <w:rsid w:val="008438DD"/>
    <w:rsid w:val="00843A12"/>
    <w:rsid w:val="008448E1"/>
    <w:rsid w:val="00845E05"/>
    <w:rsid w:val="008522E3"/>
    <w:rsid w:val="0085572F"/>
    <w:rsid w:val="0085593F"/>
    <w:rsid w:val="00861D27"/>
    <w:rsid w:val="008625CA"/>
    <w:rsid w:val="008832AD"/>
    <w:rsid w:val="00890F08"/>
    <w:rsid w:val="008A001C"/>
    <w:rsid w:val="008A059B"/>
    <w:rsid w:val="008A0B74"/>
    <w:rsid w:val="008A0D35"/>
    <w:rsid w:val="008A6A2F"/>
    <w:rsid w:val="008B458D"/>
    <w:rsid w:val="008B53A1"/>
    <w:rsid w:val="008B56B2"/>
    <w:rsid w:val="008B5D8A"/>
    <w:rsid w:val="008B7AE2"/>
    <w:rsid w:val="008D0582"/>
    <w:rsid w:val="008E21AA"/>
    <w:rsid w:val="008F4484"/>
    <w:rsid w:val="009067D3"/>
    <w:rsid w:val="009120B3"/>
    <w:rsid w:val="00916732"/>
    <w:rsid w:val="0091713C"/>
    <w:rsid w:val="00917CEA"/>
    <w:rsid w:val="0092161E"/>
    <w:rsid w:val="0093011A"/>
    <w:rsid w:val="009327A7"/>
    <w:rsid w:val="0093362B"/>
    <w:rsid w:val="009336C0"/>
    <w:rsid w:val="00933CD3"/>
    <w:rsid w:val="00935DBE"/>
    <w:rsid w:val="00954081"/>
    <w:rsid w:val="0096742B"/>
    <w:rsid w:val="00993BC1"/>
    <w:rsid w:val="00994695"/>
    <w:rsid w:val="009A1AF4"/>
    <w:rsid w:val="009A2391"/>
    <w:rsid w:val="009B3F0A"/>
    <w:rsid w:val="009B6D05"/>
    <w:rsid w:val="009C0A33"/>
    <w:rsid w:val="009D4E13"/>
    <w:rsid w:val="009E6889"/>
    <w:rsid w:val="009E6BEB"/>
    <w:rsid w:val="009F11AF"/>
    <w:rsid w:val="00A16117"/>
    <w:rsid w:val="00A17C43"/>
    <w:rsid w:val="00A30A8E"/>
    <w:rsid w:val="00A319AC"/>
    <w:rsid w:val="00A40BE1"/>
    <w:rsid w:val="00A41E04"/>
    <w:rsid w:val="00A421E4"/>
    <w:rsid w:val="00A43B58"/>
    <w:rsid w:val="00A52014"/>
    <w:rsid w:val="00A61EAF"/>
    <w:rsid w:val="00A6325F"/>
    <w:rsid w:val="00A64C4B"/>
    <w:rsid w:val="00A81F05"/>
    <w:rsid w:val="00A92332"/>
    <w:rsid w:val="00A974CB"/>
    <w:rsid w:val="00AA097E"/>
    <w:rsid w:val="00AB5E9E"/>
    <w:rsid w:val="00AC02BB"/>
    <w:rsid w:val="00AC0860"/>
    <w:rsid w:val="00AC2F39"/>
    <w:rsid w:val="00AC5602"/>
    <w:rsid w:val="00AD58E9"/>
    <w:rsid w:val="00AE3229"/>
    <w:rsid w:val="00AE33EF"/>
    <w:rsid w:val="00AF2E6B"/>
    <w:rsid w:val="00AF6FBD"/>
    <w:rsid w:val="00B07D38"/>
    <w:rsid w:val="00B1163B"/>
    <w:rsid w:val="00B13782"/>
    <w:rsid w:val="00B15152"/>
    <w:rsid w:val="00B17FA6"/>
    <w:rsid w:val="00B26743"/>
    <w:rsid w:val="00B32EF5"/>
    <w:rsid w:val="00B373D1"/>
    <w:rsid w:val="00B4597B"/>
    <w:rsid w:val="00B4645A"/>
    <w:rsid w:val="00B52D06"/>
    <w:rsid w:val="00B67BB9"/>
    <w:rsid w:val="00B7151E"/>
    <w:rsid w:val="00B81084"/>
    <w:rsid w:val="00B8225A"/>
    <w:rsid w:val="00B86658"/>
    <w:rsid w:val="00B918BA"/>
    <w:rsid w:val="00BA31AA"/>
    <w:rsid w:val="00BA3560"/>
    <w:rsid w:val="00BA3B7D"/>
    <w:rsid w:val="00BA737A"/>
    <w:rsid w:val="00BB1BCF"/>
    <w:rsid w:val="00BB4008"/>
    <w:rsid w:val="00BB49DA"/>
    <w:rsid w:val="00BB7A45"/>
    <w:rsid w:val="00BE68F7"/>
    <w:rsid w:val="00BF2AD7"/>
    <w:rsid w:val="00C070E1"/>
    <w:rsid w:val="00C134C4"/>
    <w:rsid w:val="00C15DA7"/>
    <w:rsid w:val="00C2334E"/>
    <w:rsid w:val="00C235EA"/>
    <w:rsid w:val="00C301E8"/>
    <w:rsid w:val="00C32FC4"/>
    <w:rsid w:val="00C45320"/>
    <w:rsid w:val="00C45B32"/>
    <w:rsid w:val="00C45FD4"/>
    <w:rsid w:val="00C51A5A"/>
    <w:rsid w:val="00C5410C"/>
    <w:rsid w:val="00C5427A"/>
    <w:rsid w:val="00C60366"/>
    <w:rsid w:val="00C63E89"/>
    <w:rsid w:val="00C72330"/>
    <w:rsid w:val="00C7383B"/>
    <w:rsid w:val="00C74C45"/>
    <w:rsid w:val="00C86767"/>
    <w:rsid w:val="00C96F34"/>
    <w:rsid w:val="00CA31C1"/>
    <w:rsid w:val="00CA515D"/>
    <w:rsid w:val="00CA6255"/>
    <w:rsid w:val="00CB5FEC"/>
    <w:rsid w:val="00CC722E"/>
    <w:rsid w:val="00CC7B58"/>
    <w:rsid w:val="00CD5317"/>
    <w:rsid w:val="00CE7866"/>
    <w:rsid w:val="00D00CEC"/>
    <w:rsid w:val="00D05F83"/>
    <w:rsid w:val="00D07C41"/>
    <w:rsid w:val="00D118CA"/>
    <w:rsid w:val="00D12997"/>
    <w:rsid w:val="00D216EB"/>
    <w:rsid w:val="00D27AEB"/>
    <w:rsid w:val="00D33F65"/>
    <w:rsid w:val="00D3652A"/>
    <w:rsid w:val="00D47F4F"/>
    <w:rsid w:val="00D51FBB"/>
    <w:rsid w:val="00D63187"/>
    <w:rsid w:val="00D64B2A"/>
    <w:rsid w:val="00D65506"/>
    <w:rsid w:val="00D770AA"/>
    <w:rsid w:val="00DA3A95"/>
    <w:rsid w:val="00DA6313"/>
    <w:rsid w:val="00DB600D"/>
    <w:rsid w:val="00DC22D8"/>
    <w:rsid w:val="00DD186B"/>
    <w:rsid w:val="00DD693C"/>
    <w:rsid w:val="00DD6A1B"/>
    <w:rsid w:val="00DD6F0A"/>
    <w:rsid w:val="00DE3EEA"/>
    <w:rsid w:val="00DF0803"/>
    <w:rsid w:val="00DF2489"/>
    <w:rsid w:val="00E02DC3"/>
    <w:rsid w:val="00E209E7"/>
    <w:rsid w:val="00E214AE"/>
    <w:rsid w:val="00E21BFC"/>
    <w:rsid w:val="00E24A13"/>
    <w:rsid w:val="00E30954"/>
    <w:rsid w:val="00E35039"/>
    <w:rsid w:val="00E4666B"/>
    <w:rsid w:val="00E46AD8"/>
    <w:rsid w:val="00E52DF2"/>
    <w:rsid w:val="00E5336C"/>
    <w:rsid w:val="00E56CA7"/>
    <w:rsid w:val="00E62A4E"/>
    <w:rsid w:val="00E6467D"/>
    <w:rsid w:val="00E71BDB"/>
    <w:rsid w:val="00E83AC8"/>
    <w:rsid w:val="00E83CE6"/>
    <w:rsid w:val="00E85721"/>
    <w:rsid w:val="00E93D03"/>
    <w:rsid w:val="00E95919"/>
    <w:rsid w:val="00E97681"/>
    <w:rsid w:val="00EA1A1C"/>
    <w:rsid w:val="00EA383D"/>
    <w:rsid w:val="00EC3FC1"/>
    <w:rsid w:val="00ED2330"/>
    <w:rsid w:val="00ED419F"/>
    <w:rsid w:val="00EE446D"/>
    <w:rsid w:val="00EE5F74"/>
    <w:rsid w:val="00EE78AF"/>
    <w:rsid w:val="00EF6E12"/>
    <w:rsid w:val="00F12BE7"/>
    <w:rsid w:val="00F16155"/>
    <w:rsid w:val="00F20E31"/>
    <w:rsid w:val="00F4492F"/>
    <w:rsid w:val="00F55FA5"/>
    <w:rsid w:val="00F62115"/>
    <w:rsid w:val="00F64191"/>
    <w:rsid w:val="00F76FB0"/>
    <w:rsid w:val="00F82422"/>
    <w:rsid w:val="00F834CD"/>
    <w:rsid w:val="00F851DA"/>
    <w:rsid w:val="00F923AE"/>
    <w:rsid w:val="00FA12C4"/>
    <w:rsid w:val="00FA3F99"/>
    <w:rsid w:val="00FA4E0E"/>
    <w:rsid w:val="00FA6FB1"/>
    <w:rsid w:val="00FC053F"/>
    <w:rsid w:val="00FC1095"/>
    <w:rsid w:val="00FC61F1"/>
    <w:rsid w:val="00FD13FB"/>
    <w:rsid w:val="00FD23E3"/>
    <w:rsid w:val="00FE10CF"/>
    <w:rsid w:val="00FE23DC"/>
    <w:rsid w:val="00FE551F"/>
    <w:rsid w:val="00FE76B6"/>
    <w:rsid w:val="00FF05CD"/>
    <w:rsid w:val="017417DB"/>
    <w:rsid w:val="01C9057C"/>
    <w:rsid w:val="01EC4CCE"/>
    <w:rsid w:val="04972771"/>
    <w:rsid w:val="0A7E6D5A"/>
    <w:rsid w:val="0B4962C4"/>
    <w:rsid w:val="0B5B6A45"/>
    <w:rsid w:val="0C7B47BE"/>
    <w:rsid w:val="0D6B7A36"/>
    <w:rsid w:val="0E501B1B"/>
    <w:rsid w:val="0E9617D0"/>
    <w:rsid w:val="1080364B"/>
    <w:rsid w:val="10926CA4"/>
    <w:rsid w:val="11D20582"/>
    <w:rsid w:val="11FC30FB"/>
    <w:rsid w:val="12AA779B"/>
    <w:rsid w:val="15DD673E"/>
    <w:rsid w:val="16200276"/>
    <w:rsid w:val="163552F0"/>
    <w:rsid w:val="179C6993"/>
    <w:rsid w:val="186D2F46"/>
    <w:rsid w:val="188D5F04"/>
    <w:rsid w:val="18D47385"/>
    <w:rsid w:val="19A469BF"/>
    <w:rsid w:val="1A0568EB"/>
    <w:rsid w:val="1A8926E5"/>
    <w:rsid w:val="1AA411CA"/>
    <w:rsid w:val="1C857FA0"/>
    <w:rsid w:val="1E434941"/>
    <w:rsid w:val="1E856621"/>
    <w:rsid w:val="21B05196"/>
    <w:rsid w:val="21EB45BD"/>
    <w:rsid w:val="23D5014B"/>
    <w:rsid w:val="25C44A96"/>
    <w:rsid w:val="25D804AE"/>
    <w:rsid w:val="264B1838"/>
    <w:rsid w:val="2754605E"/>
    <w:rsid w:val="28CB4B87"/>
    <w:rsid w:val="2A4C5461"/>
    <w:rsid w:val="2D046DB9"/>
    <w:rsid w:val="2D931FC0"/>
    <w:rsid w:val="33981162"/>
    <w:rsid w:val="399941FD"/>
    <w:rsid w:val="3A1918E7"/>
    <w:rsid w:val="3A934AA5"/>
    <w:rsid w:val="3D445B61"/>
    <w:rsid w:val="3DBF6A15"/>
    <w:rsid w:val="3F6047FB"/>
    <w:rsid w:val="42151BC2"/>
    <w:rsid w:val="431E7FE8"/>
    <w:rsid w:val="43562510"/>
    <w:rsid w:val="43A97502"/>
    <w:rsid w:val="44284F7F"/>
    <w:rsid w:val="480075C7"/>
    <w:rsid w:val="49C3441B"/>
    <w:rsid w:val="4A906BF0"/>
    <w:rsid w:val="4C6B11E4"/>
    <w:rsid w:val="4DF51EE1"/>
    <w:rsid w:val="4E0E3803"/>
    <w:rsid w:val="50EA3E2B"/>
    <w:rsid w:val="518B2FE8"/>
    <w:rsid w:val="529B5C08"/>
    <w:rsid w:val="52EA45FD"/>
    <w:rsid w:val="57550F05"/>
    <w:rsid w:val="58310D92"/>
    <w:rsid w:val="589D31AC"/>
    <w:rsid w:val="58AB58FA"/>
    <w:rsid w:val="59F524C8"/>
    <w:rsid w:val="5ABB4103"/>
    <w:rsid w:val="5C6063A1"/>
    <w:rsid w:val="5C7E666C"/>
    <w:rsid w:val="5E2A70D9"/>
    <w:rsid w:val="5EC84A4E"/>
    <w:rsid w:val="5F140A1A"/>
    <w:rsid w:val="601543AA"/>
    <w:rsid w:val="607B4EA3"/>
    <w:rsid w:val="630503F5"/>
    <w:rsid w:val="663560CA"/>
    <w:rsid w:val="665A3902"/>
    <w:rsid w:val="66B97B3A"/>
    <w:rsid w:val="67A93CD6"/>
    <w:rsid w:val="68A4433E"/>
    <w:rsid w:val="693D38ED"/>
    <w:rsid w:val="6AB2788C"/>
    <w:rsid w:val="6ADC43CD"/>
    <w:rsid w:val="6DB71268"/>
    <w:rsid w:val="6E0D550A"/>
    <w:rsid w:val="6E615CDB"/>
    <w:rsid w:val="6F8F1C5B"/>
    <w:rsid w:val="6F9C45FF"/>
    <w:rsid w:val="72681911"/>
    <w:rsid w:val="74397271"/>
    <w:rsid w:val="765D5234"/>
    <w:rsid w:val="76C826C2"/>
    <w:rsid w:val="77074BF7"/>
    <w:rsid w:val="785B085D"/>
    <w:rsid w:val="78D81756"/>
    <w:rsid w:val="7C8B163C"/>
    <w:rsid w:val="7FD44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qFormat="1"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19">
    <w:name w:val="Default Paragraph Font"/>
    <w:semiHidden/>
    <w:unhideWhenUsed/>
    <w:uiPriority w:val="1"/>
  </w:style>
  <w:style w:type="table" w:default="1" w:styleId="1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4">
    <w:name w:val="Document Map"/>
    <w:basedOn w:val="1"/>
    <w:semiHidden/>
    <w:uiPriority w:val="0"/>
    <w:pPr>
      <w:shd w:val="clear" w:color="auto" w:fill="000080"/>
    </w:pPr>
  </w:style>
  <w:style w:type="paragraph" w:styleId="5">
    <w:name w:val="Body Text"/>
    <w:basedOn w:val="1"/>
    <w:link w:val="24"/>
    <w:qFormat/>
    <w:uiPriority w:val="0"/>
    <w:pPr>
      <w:spacing w:after="120"/>
    </w:pPr>
    <w:rPr>
      <w:lang w:val="zh-CN" w:eastAsia="zh-CN"/>
    </w:rPr>
  </w:style>
  <w:style w:type="paragraph" w:styleId="6">
    <w:name w:val="Body Text Indent"/>
    <w:basedOn w:val="1"/>
    <w:uiPriority w:val="0"/>
    <w:pPr>
      <w:spacing w:after="120"/>
      <w:ind w:left="420" w:leftChars="200"/>
    </w:pPr>
  </w:style>
  <w:style w:type="paragraph" w:styleId="7">
    <w:name w:val="Plain Text"/>
    <w:basedOn w:val="1"/>
    <w:link w:val="25"/>
    <w:qFormat/>
    <w:uiPriority w:val="0"/>
    <w:rPr>
      <w:rFonts w:ascii="宋体" w:hAnsi="Courier New" w:cs="Courier New"/>
      <w:szCs w:val="21"/>
    </w:rPr>
  </w:style>
  <w:style w:type="paragraph" w:styleId="8">
    <w:name w:val="Date"/>
    <w:basedOn w:val="1"/>
    <w:next w:val="1"/>
    <w:qFormat/>
    <w:uiPriority w:val="0"/>
    <w:pPr>
      <w:ind w:left="100" w:leftChars="2500"/>
    </w:pPr>
  </w:style>
  <w:style w:type="paragraph" w:styleId="9">
    <w:name w:val="Body Text Indent 2"/>
    <w:basedOn w:val="1"/>
    <w:qFormat/>
    <w:uiPriority w:val="0"/>
    <w:pPr>
      <w:spacing w:after="120" w:line="480" w:lineRule="auto"/>
      <w:ind w:left="420" w:leftChars="200"/>
    </w:pPr>
  </w:style>
  <w:style w:type="paragraph" w:styleId="10">
    <w:name w:val="Balloon Text"/>
    <w:basedOn w:val="1"/>
    <w:semiHidden/>
    <w:uiPriority w:val="0"/>
    <w:rPr>
      <w:sz w:val="18"/>
      <w:szCs w:val="18"/>
    </w:rPr>
  </w:style>
  <w:style w:type="paragraph" w:styleId="11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2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Body Text Indent 3"/>
    <w:basedOn w:val="1"/>
    <w:link w:val="29"/>
    <w:qFormat/>
    <w:uiPriority w:val="0"/>
    <w:pPr>
      <w:spacing w:after="120"/>
      <w:ind w:left="420" w:leftChars="200"/>
    </w:pPr>
    <w:rPr>
      <w:rFonts w:eastAsia="宋体"/>
      <w:sz w:val="16"/>
      <w:szCs w:val="16"/>
    </w:rPr>
  </w:style>
  <w:style w:type="paragraph" w:styleId="14">
    <w:name w:val="Body Text 2"/>
    <w:basedOn w:val="1"/>
    <w:qFormat/>
    <w:uiPriority w:val="0"/>
    <w:pPr>
      <w:autoSpaceDE w:val="0"/>
      <w:autoSpaceDN w:val="0"/>
    </w:pPr>
    <w:rPr>
      <w:color w:val="000000"/>
      <w:kern w:val="0"/>
      <w:szCs w:val="20"/>
    </w:rPr>
  </w:style>
  <w:style w:type="paragraph" w:styleId="15">
    <w:name w:val="HTML Preformatted"/>
    <w:basedOn w:val="1"/>
    <w:qFormat/>
    <w:uiPriority w:val="0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Arial" w:hAnsi="Arial" w:eastAsia="宋体" w:cs="Arial"/>
      <w:kern w:val="0"/>
      <w:sz w:val="24"/>
      <w:szCs w:val="24"/>
    </w:rPr>
  </w:style>
  <w:style w:type="paragraph" w:styleId="16">
    <w:name w:val="Normal (Web)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18">
    <w:name w:val="Table Grid"/>
    <w:basedOn w:val="17"/>
    <w:qFormat/>
    <w:uiPriority w:val="0"/>
    <w:pPr>
      <w:widowControl w:val="0"/>
      <w:jc w:val="both"/>
    </w:pPr>
    <w:rPr>
      <w:rFonts w:eastAsia="仿宋_GB2312"/>
      <w:sz w:val="28"/>
      <w:szCs w:val="28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0">
    <w:name w:val="Strong"/>
    <w:qFormat/>
    <w:uiPriority w:val="0"/>
    <w:rPr>
      <w:b/>
      <w:bCs/>
    </w:rPr>
  </w:style>
  <w:style w:type="character" w:styleId="21">
    <w:name w:val="page number"/>
    <w:basedOn w:val="19"/>
    <w:qFormat/>
    <w:uiPriority w:val="0"/>
    <w:rPr>
      <w:szCs w:val="24"/>
    </w:rPr>
  </w:style>
  <w:style w:type="character" w:styleId="22">
    <w:name w:val="Hyperlink"/>
    <w:qFormat/>
    <w:uiPriority w:val="0"/>
    <w:rPr>
      <w:color w:val="000000"/>
      <w:sz w:val="18"/>
      <w:szCs w:val="18"/>
      <w:u w:val="none"/>
    </w:rPr>
  </w:style>
  <w:style w:type="character" w:customStyle="1" w:styleId="23">
    <w:name w:val="Char Char"/>
    <w:uiPriority w:val="0"/>
    <w:rPr>
      <w:kern w:val="2"/>
      <w:sz w:val="16"/>
      <w:szCs w:val="16"/>
    </w:rPr>
  </w:style>
  <w:style w:type="character" w:customStyle="1" w:styleId="24">
    <w:name w:val="正文文本 Char"/>
    <w:link w:val="5"/>
    <w:qFormat/>
    <w:uiPriority w:val="0"/>
    <w:rPr>
      <w:rFonts w:eastAsia="仿宋_GB2312"/>
      <w:kern w:val="2"/>
      <w:sz w:val="32"/>
      <w:szCs w:val="32"/>
    </w:rPr>
  </w:style>
  <w:style w:type="character" w:customStyle="1" w:styleId="25">
    <w:name w:val="纯文本 Char1"/>
    <w:link w:val="7"/>
    <w:semiHidden/>
    <w:locked/>
    <w:uiPriority w:val="0"/>
    <w:rPr>
      <w:rFonts w:ascii="宋体" w:hAnsi="Courier New" w:eastAsia="仿宋_GB2312" w:cs="Courier New"/>
      <w:kern w:val="2"/>
      <w:sz w:val="32"/>
      <w:szCs w:val="21"/>
      <w:lang w:val="en-US" w:eastAsia="zh-CN" w:bidi="ar-SA"/>
    </w:rPr>
  </w:style>
  <w:style w:type="character" w:customStyle="1" w:styleId="26">
    <w:name w:val="NormalCharacter"/>
    <w:semiHidden/>
    <w:uiPriority w:val="99"/>
  </w:style>
  <w:style w:type="character" w:customStyle="1" w:styleId="27">
    <w:name w:val="纯文本 Char"/>
    <w:link w:val="28"/>
    <w:qFormat/>
    <w:uiPriority w:val="0"/>
    <w:rPr>
      <w:rFonts w:ascii="宋体" w:hAnsi="Courier New"/>
      <w:szCs w:val="21"/>
      <w:lang w:bidi="ar-SA"/>
    </w:rPr>
  </w:style>
  <w:style w:type="paragraph" w:customStyle="1" w:styleId="28">
    <w:name w:val="纯文本1"/>
    <w:basedOn w:val="1"/>
    <w:link w:val="27"/>
    <w:qFormat/>
    <w:uiPriority w:val="0"/>
    <w:rPr>
      <w:rFonts w:ascii="宋体" w:hAnsi="Courier New" w:eastAsia="宋体"/>
      <w:kern w:val="0"/>
      <w:sz w:val="20"/>
      <w:szCs w:val="21"/>
      <w:lang w:val="zh-CN" w:eastAsia="zh-CN"/>
    </w:rPr>
  </w:style>
  <w:style w:type="character" w:customStyle="1" w:styleId="29">
    <w:name w:val="正文文本缩进 3 Char"/>
    <w:link w:val="13"/>
    <w:uiPriority w:val="0"/>
    <w:rPr>
      <w:rFonts w:eastAsia="宋体"/>
      <w:kern w:val="2"/>
      <w:sz w:val="16"/>
      <w:szCs w:val="16"/>
      <w:lang w:val="en-US" w:eastAsia="zh-CN" w:bidi="ar-SA"/>
    </w:rPr>
  </w:style>
  <w:style w:type="paragraph" w:customStyle="1" w:styleId="30">
    <w:name w:val="List Paragraph1"/>
    <w:basedOn w:val="1"/>
    <w:uiPriority w:val="0"/>
    <w:pPr>
      <w:ind w:firstLine="420" w:firstLineChars="200"/>
    </w:pPr>
    <w:rPr>
      <w:rFonts w:ascii="Calibri" w:hAnsi="Calibri" w:eastAsia="宋体" w:cs="Calibri"/>
      <w:sz w:val="21"/>
      <w:szCs w:val="21"/>
    </w:rPr>
  </w:style>
  <w:style w:type="paragraph" w:customStyle="1" w:styleId="31">
    <w:name w:val="Char Char Char Char Char Char Char Char Char Char Char"/>
    <w:basedOn w:val="1"/>
    <w:qFormat/>
    <w:uiPriority w:val="0"/>
    <w:pPr>
      <w:widowControl/>
      <w:spacing w:after="160" w:line="240" w:lineRule="exact"/>
      <w:jc w:val="left"/>
    </w:pPr>
    <w:rPr>
      <w:szCs w:val="24"/>
    </w:rPr>
  </w:style>
  <w:style w:type="paragraph" w:customStyle="1" w:styleId="32">
    <w:name w:val="Char1"/>
    <w:basedOn w:val="1"/>
    <w:uiPriority w:val="0"/>
    <w:pPr>
      <w:spacing w:before="100" w:beforeAutospacing="1" w:after="100" w:afterAutospacing="1"/>
    </w:pPr>
    <w:rPr>
      <w:rFonts w:ascii="仿宋_GB2312"/>
      <w:b/>
    </w:rPr>
  </w:style>
  <w:style w:type="paragraph" w:customStyle="1" w:styleId="33">
    <w:name w:val="p18"/>
    <w:basedOn w:val="1"/>
    <w:qFormat/>
    <w:uiPriority w:val="0"/>
    <w:pPr>
      <w:widowControl/>
    </w:pPr>
    <w:rPr>
      <w:rFonts w:eastAsia="宋体"/>
      <w:kern w:val="0"/>
      <w:sz w:val="21"/>
      <w:szCs w:val="21"/>
    </w:rPr>
  </w:style>
  <w:style w:type="paragraph" w:customStyle="1" w:styleId="34">
    <w:name w:val="p19"/>
    <w:qFormat/>
    <w:uiPriority w:val="0"/>
    <w:rPr>
      <w:rFonts w:ascii="Times New Roman" w:hAnsi="Times New Roman" w:eastAsia="宋体" w:cs="Times New Roman"/>
      <w:szCs w:val="21"/>
      <w:lang w:val="en-US" w:eastAsia="zh-CN" w:bidi="ar-SA"/>
    </w:rPr>
  </w:style>
  <w:style w:type="paragraph" w:customStyle="1" w:styleId="35">
    <w:name w:val="p0"/>
    <w:basedOn w:val="1"/>
    <w:qFormat/>
    <w:uiPriority w:val="0"/>
    <w:pPr>
      <w:widowControl/>
    </w:pPr>
    <w:rPr>
      <w:rFonts w:eastAsia="宋体"/>
      <w:kern w:val="0"/>
      <w:sz w:val="21"/>
      <w:szCs w:val="21"/>
    </w:rPr>
  </w:style>
  <w:style w:type="paragraph" w:customStyle="1" w:styleId="36">
    <w:name w:val="Char Char Char Char Char Char Char Char"/>
    <w:basedOn w:val="1"/>
    <w:semiHidden/>
    <w:uiPriority w:val="0"/>
    <w:rPr>
      <w:szCs w:val="21"/>
    </w:rPr>
  </w:style>
  <w:style w:type="paragraph" w:customStyle="1" w:styleId="37">
    <w:name w:val="Char Char Char Char Char Char Char Char Char Char"/>
    <w:basedOn w:val="1"/>
    <w:qFormat/>
    <w:uiPriority w:val="0"/>
    <w:rPr>
      <w:rFonts w:ascii="宋体" w:hAnsi="宋体"/>
      <w:kern w:val="0"/>
      <w:sz w:val="24"/>
    </w:rPr>
  </w:style>
  <w:style w:type="paragraph" w:customStyle="1" w:styleId="38">
    <w:name w:val="Char"/>
    <w:basedOn w:val="1"/>
    <w:semiHidden/>
    <w:uiPriority w:val="0"/>
    <w:rPr>
      <w:sz w:val="21"/>
      <w:szCs w:val="21"/>
    </w:rPr>
  </w:style>
  <w:style w:type="paragraph" w:customStyle="1" w:styleId="39">
    <w:name w:val="Char2"/>
    <w:basedOn w:val="4"/>
    <w:qFormat/>
    <w:uiPriority w:val="0"/>
    <w:pPr>
      <w:spacing w:line="360" w:lineRule="auto"/>
      <w:ind w:firstLine="480" w:firstLineChars="200"/>
    </w:pPr>
  </w:style>
  <w:style w:type="paragraph" w:customStyle="1" w:styleId="40">
    <w:name w:val="大题目"/>
    <w:basedOn w:val="1"/>
    <w:uiPriority w:val="0"/>
    <w:pPr>
      <w:spacing w:line="0" w:lineRule="atLeast"/>
      <w:jc w:val="center"/>
    </w:pPr>
    <w:rPr>
      <w:rFonts w:hint="eastAsia" w:ascii="宋体" w:hAnsi="宋体" w:eastAsia="文星简小标宋"/>
      <w:sz w:val="44"/>
      <w:szCs w:val="20"/>
    </w:rPr>
  </w:style>
  <w:style w:type="paragraph" w:customStyle="1" w:styleId="41">
    <w:name w:val="_Style 3"/>
    <w:basedOn w:val="1"/>
    <w:qFormat/>
    <w:uiPriority w:val="0"/>
    <w:pPr>
      <w:spacing w:line="600" w:lineRule="exact"/>
    </w:pPr>
    <w:rPr>
      <w:sz w:val="21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7</Pages>
  <Words>576</Words>
  <Characters>3289</Characters>
  <Lines>27</Lines>
  <Paragraphs>7</Paragraphs>
  <TotalTime>160</TotalTime>
  <ScaleCrop>false</ScaleCrop>
  <LinksUpToDate>false</LinksUpToDate>
  <CharactersWithSpaces>3858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2023-07-20T07:03:00Z</dcterms:created>
  <dc:creator>小容</dc:creator>
  <cp:lastModifiedBy>Administrator</cp:lastModifiedBy>
  <cp:lastPrinted>2022-07-25T02:47:00Z</cp:lastPrinted>
  <dcterms:modified xsi:type="dcterms:W3CDTF">2023-08-17T09:40:32Z</dcterms:modified>
  <dc:title>威海经济技术开发区管理委员会文件</dc:title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