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092ED">
      <w:pPr>
        <w:tabs>
          <w:tab w:val="left" w:pos="0"/>
        </w:tabs>
        <w:kinsoku/>
        <w:spacing w:beforeLines="0" w:afterLines="0" w:line="560" w:lineRule="exact"/>
        <w:ind w:left="0" w:leftChars="0" w:firstLine="0" w:firstLineChars="0"/>
        <w:jc w:val="center"/>
        <w:rPr>
          <w:rFonts w:hint="eastAsia" w:ascii="微软雅黑" w:hAnsi="微软雅黑" w:eastAsia="微软雅黑" w:cs="微软雅黑"/>
          <w:sz w:val="52"/>
          <w:szCs w:val="52"/>
          <w:lang w:val="en-US" w:eastAsia="zh-CN"/>
        </w:rPr>
      </w:pPr>
    </w:p>
    <w:p w14:paraId="7EF4F9C6">
      <w:pPr>
        <w:keepNext w:val="0"/>
        <w:keepLines w:val="0"/>
        <w:pageBreakBefore w:val="0"/>
        <w:widowControl/>
        <w:tabs>
          <w:tab w:val="left" w:pos="0"/>
        </w:tabs>
        <w:kinsoku/>
        <w:wordWrap/>
        <w:overflowPunct/>
        <w:topLinePunct w:val="0"/>
        <w:autoSpaceDE w:val="0"/>
        <w:autoSpaceDN w:val="0"/>
        <w:bidi w:val="0"/>
        <w:adjustRightInd w:val="0"/>
        <w:snapToGrid w:val="0"/>
        <w:spacing w:beforeLines="0" w:afterLines="0" w:line="240" w:lineRule="auto"/>
        <w:ind w:left="0" w:leftChars="0" w:firstLine="0" w:firstLineChars="0"/>
        <w:jc w:val="center"/>
        <w:textAlignment w:val="baseline"/>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威海经济技术开发区“十五五”</w:t>
      </w:r>
    </w:p>
    <w:p w14:paraId="0B5C9965">
      <w:pPr>
        <w:keepNext w:val="0"/>
        <w:keepLines w:val="0"/>
        <w:pageBreakBefore w:val="0"/>
        <w:widowControl/>
        <w:tabs>
          <w:tab w:val="left" w:pos="0"/>
        </w:tabs>
        <w:kinsoku/>
        <w:wordWrap/>
        <w:overflowPunct/>
        <w:topLinePunct w:val="0"/>
        <w:autoSpaceDE w:val="0"/>
        <w:autoSpaceDN w:val="0"/>
        <w:bidi w:val="0"/>
        <w:adjustRightInd w:val="0"/>
        <w:snapToGrid w:val="0"/>
        <w:spacing w:beforeLines="0" w:afterLines="0" w:line="240" w:lineRule="auto"/>
        <w:ind w:left="0" w:leftChars="0" w:firstLine="0" w:firstLineChars="0"/>
        <w:jc w:val="center"/>
        <w:textAlignment w:val="baseline"/>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（2026—2030年）</w:t>
      </w:r>
    </w:p>
    <w:p w14:paraId="5658A377">
      <w:pPr>
        <w:keepNext w:val="0"/>
        <w:keepLines w:val="0"/>
        <w:pageBreakBefore w:val="0"/>
        <w:widowControl/>
        <w:tabs>
          <w:tab w:val="left" w:pos="0"/>
        </w:tabs>
        <w:kinsoku/>
        <w:wordWrap/>
        <w:overflowPunct/>
        <w:topLinePunct w:val="0"/>
        <w:autoSpaceDE w:val="0"/>
        <w:autoSpaceDN w:val="0"/>
        <w:bidi w:val="0"/>
        <w:adjustRightInd w:val="0"/>
        <w:snapToGrid w:val="0"/>
        <w:spacing w:beforeLines="0" w:afterLines="0" w:line="240" w:lineRule="auto"/>
        <w:ind w:left="0" w:leftChars="0" w:firstLine="0" w:firstLineChars="0"/>
        <w:jc w:val="center"/>
        <w:textAlignment w:val="baseline"/>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规划纲要</w:t>
      </w:r>
    </w:p>
    <w:p w14:paraId="4A5315D9">
      <w:pPr>
        <w:pStyle w:val="14"/>
        <w:kinsoku/>
        <w:spacing w:before="0" w:beforeLines="0" w:after="0" w:line="560" w:lineRule="exact"/>
        <w:ind w:left="0" w:leftChars="0" w:firstLine="0" w:firstLineChars="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（征求意见稿）</w:t>
      </w:r>
    </w:p>
    <w:p w14:paraId="54A3AD76">
      <w:pPr>
        <w:pStyle w:val="14"/>
        <w:kinsoku/>
        <w:spacing w:before="0" w:beforeLines="0" w:after="0" w:line="560" w:lineRule="exact"/>
        <w:rPr>
          <w:rFonts w:hint="eastAsia" w:ascii="仿宋_GB2312" w:hAnsi="仿宋_GB2312" w:eastAsia="仿宋_GB2312" w:cs="仿宋_GB2312"/>
          <w:sz w:val="32"/>
          <w:szCs w:val="32"/>
          <w:lang w:val="en-US" w:eastAsia="zh-CN"/>
        </w:rPr>
      </w:pPr>
      <w:bookmarkStart w:id="58" w:name="_GoBack"/>
      <w:bookmarkEnd w:id="58"/>
    </w:p>
    <w:p w14:paraId="0D7FDBF5">
      <w:pPr>
        <w:pStyle w:val="14"/>
        <w:kinsoku/>
        <w:spacing w:before="0" w:beforeLines="0" w:after="0" w:line="560" w:lineRule="exact"/>
        <w:rPr>
          <w:rFonts w:hint="eastAsia" w:ascii="仿宋_GB2312" w:hAnsi="仿宋_GB2312" w:eastAsia="仿宋_GB2312" w:cs="仿宋_GB2312"/>
          <w:sz w:val="32"/>
          <w:szCs w:val="32"/>
          <w:lang w:val="en-US" w:eastAsia="zh-CN"/>
        </w:rPr>
      </w:pPr>
    </w:p>
    <w:p w14:paraId="062D972E">
      <w:pPr>
        <w:pStyle w:val="14"/>
        <w:kinsoku/>
        <w:spacing w:before="0" w:beforeLines="0" w:after="0" w:line="560" w:lineRule="exact"/>
        <w:rPr>
          <w:rFonts w:hint="eastAsia" w:ascii="仿宋_GB2312" w:hAnsi="仿宋_GB2312" w:eastAsia="仿宋_GB2312" w:cs="仿宋_GB2312"/>
          <w:sz w:val="32"/>
          <w:szCs w:val="32"/>
          <w:lang w:val="en-US" w:eastAsia="zh-CN"/>
        </w:rPr>
      </w:pPr>
    </w:p>
    <w:p w14:paraId="38D15208">
      <w:pPr>
        <w:pStyle w:val="14"/>
        <w:kinsoku/>
        <w:spacing w:before="0" w:beforeLines="0" w:after="0" w:line="560" w:lineRule="exact"/>
        <w:rPr>
          <w:rFonts w:hint="eastAsia" w:ascii="仿宋_GB2312" w:hAnsi="仿宋_GB2312" w:eastAsia="仿宋_GB2312" w:cs="仿宋_GB2312"/>
          <w:sz w:val="32"/>
          <w:szCs w:val="32"/>
          <w:lang w:val="en-US" w:eastAsia="zh-CN"/>
        </w:rPr>
      </w:pPr>
    </w:p>
    <w:p w14:paraId="4E869BF3">
      <w:pPr>
        <w:pStyle w:val="14"/>
        <w:kinsoku/>
        <w:spacing w:before="0" w:beforeLines="0" w:after="0" w:line="560" w:lineRule="exact"/>
        <w:rPr>
          <w:rFonts w:hint="eastAsia" w:ascii="仿宋_GB2312" w:hAnsi="仿宋_GB2312" w:eastAsia="仿宋_GB2312" w:cs="仿宋_GB2312"/>
          <w:sz w:val="32"/>
          <w:szCs w:val="32"/>
          <w:lang w:val="en-US" w:eastAsia="zh-CN"/>
        </w:rPr>
      </w:pPr>
    </w:p>
    <w:p w14:paraId="1F044054">
      <w:pPr>
        <w:pStyle w:val="14"/>
        <w:kinsoku/>
        <w:spacing w:before="0" w:beforeLines="0" w:after="0" w:line="560" w:lineRule="exact"/>
        <w:rPr>
          <w:rFonts w:hint="eastAsia" w:ascii="仿宋_GB2312" w:hAnsi="仿宋_GB2312" w:eastAsia="仿宋_GB2312" w:cs="仿宋_GB2312"/>
          <w:sz w:val="32"/>
          <w:szCs w:val="32"/>
          <w:lang w:val="en-US" w:eastAsia="zh-CN"/>
        </w:rPr>
      </w:pPr>
    </w:p>
    <w:p w14:paraId="56FA8D92">
      <w:pPr>
        <w:pStyle w:val="14"/>
        <w:kinsoku/>
        <w:spacing w:before="0" w:beforeLines="0" w:after="0" w:line="560" w:lineRule="exact"/>
        <w:rPr>
          <w:rFonts w:hint="eastAsia" w:ascii="仿宋_GB2312" w:hAnsi="仿宋_GB2312" w:eastAsia="仿宋_GB2312" w:cs="仿宋_GB2312"/>
          <w:sz w:val="32"/>
          <w:szCs w:val="32"/>
          <w:lang w:val="en-US" w:eastAsia="zh-CN"/>
        </w:rPr>
      </w:pPr>
    </w:p>
    <w:p w14:paraId="4D7D2D01">
      <w:pPr>
        <w:pStyle w:val="14"/>
        <w:kinsoku/>
        <w:spacing w:before="0" w:beforeLines="0" w:after="0" w:line="560" w:lineRule="exact"/>
        <w:rPr>
          <w:rFonts w:hint="eastAsia" w:ascii="仿宋_GB2312" w:hAnsi="仿宋_GB2312" w:eastAsia="仿宋_GB2312" w:cs="仿宋_GB2312"/>
          <w:sz w:val="32"/>
          <w:szCs w:val="32"/>
          <w:lang w:val="en-US" w:eastAsia="zh-CN"/>
        </w:rPr>
      </w:pPr>
    </w:p>
    <w:p w14:paraId="622A44A5">
      <w:pPr>
        <w:pStyle w:val="14"/>
        <w:kinsoku/>
        <w:spacing w:before="0" w:beforeLines="0" w:after="0" w:line="560" w:lineRule="exact"/>
        <w:jc w:val="center"/>
        <w:rPr>
          <w:rFonts w:hint="eastAsia" w:ascii="仿宋_GB2312" w:hAnsi="仿宋_GB2312" w:eastAsia="仿宋_GB2312" w:cs="仿宋_GB2312"/>
          <w:sz w:val="32"/>
          <w:szCs w:val="32"/>
          <w:lang w:val="en-US" w:eastAsia="zh-CN"/>
        </w:rPr>
      </w:pPr>
    </w:p>
    <w:p w14:paraId="4A540C3C">
      <w:pPr>
        <w:pStyle w:val="14"/>
        <w:kinsoku/>
        <w:spacing w:before="0" w:beforeLines="0" w:after="0" w:line="560" w:lineRule="exact"/>
        <w:ind w:left="0" w:leftChars="0" w:firstLine="0" w:firstLineChars="0"/>
        <w:jc w:val="center"/>
        <w:rPr>
          <w:rFonts w:hint="eastAsia" w:ascii="微软雅黑" w:hAnsi="微软雅黑" w:eastAsia="微软雅黑" w:cs="微软雅黑"/>
          <w:sz w:val="44"/>
          <w:szCs w:val="44"/>
          <w:lang w:val="en-US" w:eastAsia="zh-CN"/>
        </w:rPr>
      </w:pPr>
      <w:r>
        <w:rPr>
          <w:rFonts w:hint="eastAsia" w:ascii="微软雅黑" w:hAnsi="微软雅黑" w:eastAsia="微软雅黑" w:cs="微软雅黑"/>
          <w:sz w:val="44"/>
          <w:szCs w:val="44"/>
          <w:lang w:val="en-US" w:eastAsia="zh-CN"/>
        </w:rPr>
        <w:t>二〇二六年五月</w:t>
      </w:r>
    </w:p>
    <w:p w14:paraId="0B89DF0C">
      <w:pPr>
        <w:kinsoku/>
        <w:spacing w:beforeLines="0" w:afterLines="0" w:line="560" w:lineRule="exact"/>
        <w:jc w:val="center"/>
      </w:pPr>
      <w:r>
        <w:br w:type="page"/>
      </w:r>
    </w:p>
    <w:sdt>
      <w:sdtPr>
        <w:rPr>
          <w:rFonts w:hint="eastAsia" w:ascii="黑体" w:hAnsi="黑体" w:eastAsia="黑体" w:cs="黑体"/>
          <w:snapToGrid w:val="0"/>
          <w:color w:val="000000"/>
          <w:kern w:val="0"/>
          <w:sz w:val="32"/>
          <w:szCs w:val="32"/>
          <w:lang w:val="en-US" w:eastAsia="en-US" w:bidi="ar-SA"/>
        </w:rPr>
        <w:id w:val="147457143"/>
        <w15:color w:val="DBDBDB"/>
        <w:docPartObj>
          <w:docPartGallery w:val="Table of Contents"/>
          <w:docPartUnique/>
        </w:docPartObj>
      </w:sdtPr>
      <w:sdtEndPr>
        <w:rPr>
          <w:rFonts w:hint="eastAsia" w:ascii="仿宋_GB2312" w:hAnsi="仿宋_GB2312" w:eastAsia="仿宋_GB2312" w:cs="仿宋_GB2312"/>
          <w:snapToGrid w:val="0"/>
          <w:color w:val="000000"/>
          <w:kern w:val="0"/>
          <w:sz w:val="28"/>
          <w:szCs w:val="28"/>
          <w:lang w:val="en-US" w:eastAsia="en-US" w:bidi="ar-SA"/>
        </w:rPr>
      </w:sdtEndPr>
      <w:sdtContent>
        <w:p w14:paraId="36CE2481">
          <w:pPr>
            <w:keepNext w:val="0"/>
            <w:keepLines w:val="0"/>
            <w:pageBreakBefore w:val="0"/>
            <w:widowControl/>
            <w:kinsoku/>
            <w:wordWrap/>
            <w:overflowPunct/>
            <w:topLinePunct w:val="0"/>
            <w:autoSpaceDE w:val="0"/>
            <w:autoSpaceDN w:val="0"/>
            <w:bidi w:val="0"/>
            <w:adjustRightInd w:val="0"/>
            <w:snapToGrid w:val="0"/>
            <w:spacing w:before="0" w:beforeLines="0" w:after="0" w:afterLines="0" w:line="560" w:lineRule="exact"/>
            <w:ind w:left="0" w:leftChars="0" w:right="0" w:rightChars="0" w:firstLine="0" w:firstLineChars="0"/>
            <w:jc w:val="center"/>
            <w:textAlignment w:val="baseline"/>
            <w:rPr>
              <w:rFonts w:hint="eastAsia" w:ascii="黑体" w:hAnsi="黑体" w:eastAsia="黑体" w:cs="黑体"/>
              <w:sz w:val="32"/>
              <w:szCs w:val="32"/>
            </w:rPr>
          </w:pPr>
          <w:r>
            <w:rPr>
              <w:rFonts w:hint="eastAsia" w:ascii="黑体" w:hAnsi="黑体" w:eastAsia="黑体" w:cs="黑体"/>
              <w:sz w:val="32"/>
              <w:szCs w:val="32"/>
            </w:rPr>
            <w:t>目</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录</w:t>
          </w:r>
        </w:p>
        <w:p w14:paraId="519317D9">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TOC \o "1-2" \h \u </w:instrText>
          </w:r>
          <w:r>
            <w:rPr>
              <w:rFonts w:hint="eastAsia" w:ascii="仿宋_GB2312" w:hAnsi="仿宋_GB2312" w:eastAsia="仿宋_GB2312" w:cs="仿宋_GB2312"/>
              <w:sz w:val="28"/>
              <w:szCs w:val="28"/>
            </w:rPr>
            <w:fldChar w:fldCharType="separate"/>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_Toc14548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en-US"/>
            </w:rPr>
            <w:t>第一章</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继往开来启新程</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实干担当筑强区</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_Toc14548 \h </w:instrText>
          </w:r>
          <w:r>
            <w:rPr>
              <w:rFonts w:hint="eastAsia" w:ascii="黑体" w:hAnsi="黑体" w:eastAsia="黑体" w:cs="黑体"/>
              <w:sz w:val="28"/>
              <w:szCs w:val="28"/>
            </w:rPr>
            <w:fldChar w:fldCharType="separate"/>
          </w:r>
          <w:r>
            <w:rPr>
              <w:rFonts w:hint="eastAsia" w:ascii="黑体" w:hAnsi="黑体" w:eastAsia="黑体" w:cs="黑体"/>
              <w:sz w:val="28"/>
              <w:szCs w:val="28"/>
            </w:rPr>
            <w:t>1</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73B3978A">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_Toc9576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系统总结“十四五”发展成效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_Toc9576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55CD063">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_Toc13502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科学研判“十五五”机遇挑战</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_Toc13502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08FEEF64">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_Toc6970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谋篇布局明确发展思路与目标</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_Toc6970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ABEDA80">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_Toc12097 </w:instrText>
          </w:r>
          <w:r>
            <w:rPr>
              <w:rFonts w:hint="eastAsia" w:ascii="黑体" w:hAnsi="黑体" w:eastAsia="黑体" w:cs="黑体"/>
              <w:sz w:val="28"/>
              <w:szCs w:val="28"/>
            </w:rPr>
            <w:fldChar w:fldCharType="separate"/>
          </w:r>
          <w:r>
            <w:rPr>
              <w:rFonts w:hint="eastAsia" w:ascii="黑体" w:hAnsi="黑体" w:eastAsia="黑体" w:cs="黑体"/>
              <w:sz w:val="28"/>
              <w:szCs w:val="28"/>
            </w:rPr>
            <w:t>第二章</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聚链成群优结构 夯基固本强实体</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_Toc12097 \h </w:instrText>
          </w:r>
          <w:r>
            <w:rPr>
              <w:rFonts w:hint="eastAsia" w:ascii="黑体" w:hAnsi="黑体" w:eastAsia="黑体" w:cs="黑体"/>
              <w:sz w:val="28"/>
              <w:szCs w:val="28"/>
            </w:rPr>
            <w:fldChar w:fldCharType="separate"/>
          </w:r>
          <w:r>
            <w:rPr>
              <w:rFonts w:hint="eastAsia" w:ascii="黑体" w:hAnsi="黑体" w:eastAsia="黑体" w:cs="黑体"/>
              <w:sz w:val="28"/>
              <w:szCs w:val="28"/>
            </w:rPr>
            <w:t>15</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33C5F68A">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_Toc19947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聚力壮大“四大”产业集群</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_Toc19947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4586DDE">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_Toc3613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提档升级“三大”现代服务业</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_Toc3613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20</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2D06E306">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_Toc13225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前瞻布局“两大”未来产业</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_Toc13225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779463A">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_Toc8331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第四节深化产业协同融通发展</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_Toc8331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57713C1">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_Toc20867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 xml:space="preserve">第三章 </w:t>
          </w:r>
          <w:r>
            <w:rPr>
              <w:rFonts w:hint="eastAsia" w:ascii="黑体" w:hAnsi="黑体" w:eastAsia="黑体" w:cs="黑体"/>
              <w:sz w:val="28"/>
              <w:szCs w:val="28"/>
            </w:rPr>
            <w:t>创新驱动强引擎 向新提质育动能</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_Toc20867 \h </w:instrText>
          </w:r>
          <w:r>
            <w:rPr>
              <w:rFonts w:hint="eastAsia" w:ascii="黑体" w:hAnsi="黑体" w:eastAsia="黑体" w:cs="黑体"/>
              <w:sz w:val="28"/>
              <w:szCs w:val="28"/>
            </w:rPr>
            <w:fldChar w:fldCharType="separate"/>
          </w:r>
          <w:r>
            <w:rPr>
              <w:rFonts w:hint="eastAsia" w:ascii="黑体" w:hAnsi="黑体" w:eastAsia="黑体" w:cs="黑体"/>
              <w:sz w:val="28"/>
              <w:szCs w:val="28"/>
            </w:rPr>
            <w:t>30</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198FBFAE">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_Toc26419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推动科产创新深度融合</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_Toc26419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30</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60B3712">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_Toc15880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巩固企业创新主体地位</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_Toc15880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656380D">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_Toc31944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统筹教科人产一体化发展</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_Toc31944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0A926D89">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_Toc5630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第四节 优化全域科技创新生态</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_Toc5630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AB4E9CA">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_Toc11369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第五节 提速数字经开区建设</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_Toc11369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5199A471">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_Toc23469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 xml:space="preserve">第四章 </w:t>
          </w:r>
          <w:r>
            <w:rPr>
              <w:rFonts w:hint="eastAsia" w:ascii="黑体" w:hAnsi="黑体" w:eastAsia="黑体" w:cs="黑体"/>
              <w:sz w:val="28"/>
              <w:szCs w:val="28"/>
            </w:rPr>
            <w:t>深挖内需稳基本 融通内外促循环</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_Toc23469 \h </w:instrText>
          </w:r>
          <w:r>
            <w:rPr>
              <w:rFonts w:hint="eastAsia" w:ascii="黑体" w:hAnsi="黑体" w:eastAsia="黑体" w:cs="黑体"/>
              <w:sz w:val="28"/>
              <w:szCs w:val="28"/>
            </w:rPr>
            <w:fldChar w:fldCharType="separate"/>
          </w:r>
          <w:r>
            <w:rPr>
              <w:rFonts w:hint="eastAsia" w:ascii="黑体" w:hAnsi="黑体" w:eastAsia="黑体" w:cs="黑体"/>
              <w:sz w:val="28"/>
              <w:szCs w:val="28"/>
            </w:rPr>
            <w:t>38</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64DE5440">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_Toc27716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多措并举提振消费潜力</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_Toc27716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0FF663D9">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_Toc15754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精准发力扩大有效投资</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_Toc15754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41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252BD902">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_Toc26119 </w:instrText>
          </w:r>
          <w:r>
            <w:rPr>
              <w:rFonts w:hint="eastAsia" w:ascii="黑体" w:hAnsi="黑体" w:eastAsia="黑体" w:cs="黑体"/>
              <w:sz w:val="28"/>
              <w:szCs w:val="28"/>
            </w:rPr>
            <w:fldChar w:fldCharType="separate"/>
          </w:r>
          <w:r>
            <w:rPr>
              <w:rFonts w:hint="eastAsia" w:ascii="黑体" w:hAnsi="黑体" w:eastAsia="黑体" w:cs="黑体"/>
              <w:sz w:val="28"/>
              <w:szCs w:val="28"/>
            </w:rPr>
            <w:t>第</w:t>
          </w:r>
          <w:r>
            <w:rPr>
              <w:rFonts w:hint="eastAsia" w:ascii="黑体" w:hAnsi="黑体" w:eastAsia="黑体" w:cs="黑体"/>
              <w:sz w:val="28"/>
              <w:szCs w:val="28"/>
              <w:lang w:val="en-US" w:eastAsia="zh-CN"/>
            </w:rPr>
            <w:t>五</w:t>
          </w:r>
          <w:r>
            <w:rPr>
              <w:rFonts w:hint="eastAsia" w:ascii="黑体" w:hAnsi="黑体" w:eastAsia="黑体" w:cs="黑体"/>
              <w:sz w:val="28"/>
              <w:szCs w:val="28"/>
            </w:rPr>
            <w:t>章</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精塑城乡新样板 融合提质促共兴</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_Toc26119 \h </w:instrText>
          </w:r>
          <w:r>
            <w:rPr>
              <w:rFonts w:hint="eastAsia" w:ascii="黑体" w:hAnsi="黑体" w:eastAsia="黑体" w:cs="黑体"/>
              <w:sz w:val="28"/>
              <w:szCs w:val="28"/>
            </w:rPr>
            <w:fldChar w:fldCharType="separate"/>
          </w:r>
          <w:r>
            <w:rPr>
              <w:rFonts w:hint="eastAsia" w:ascii="黑体" w:hAnsi="黑体" w:eastAsia="黑体" w:cs="黑体"/>
              <w:sz w:val="28"/>
              <w:szCs w:val="28"/>
            </w:rPr>
            <w:t>44</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6B7707E0">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_Toc26449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提质建设全域精致城市​</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_Toc26449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44</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0A343C60">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_Toc17443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示范引领齐鲁和美乡村</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_Toc17443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47</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1021E2EE">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_Toc22729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纵深推进城乡融合发展</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_Toc22729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3C8DA3B">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_Toc29174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第六章 改革攻坚优环境 激发活力促跃升​</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_Toc29174 \h </w:instrText>
          </w:r>
          <w:r>
            <w:rPr>
              <w:rFonts w:hint="eastAsia" w:ascii="黑体" w:hAnsi="黑体" w:eastAsia="黑体" w:cs="黑体"/>
              <w:sz w:val="28"/>
              <w:szCs w:val="28"/>
            </w:rPr>
            <w:fldChar w:fldCharType="separate"/>
          </w:r>
          <w:r>
            <w:rPr>
              <w:rFonts w:hint="eastAsia" w:ascii="黑体" w:hAnsi="黑体" w:eastAsia="黑体" w:cs="黑体"/>
              <w:sz w:val="28"/>
              <w:szCs w:val="28"/>
            </w:rPr>
            <w:t>56</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0500BF7B">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_Toc22468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深化国企改革激发内生动力</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_Toc22468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B096F00">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_Toc11848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实施民企培优提质增效行动</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_Toc11848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32C0A21">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_Toc32547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创优市场化法治化国际化环境</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_Toc32547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59</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E4CF736">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_Toc2762 </w:instrText>
          </w:r>
          <w:r>
            <w:rPr>
              <w:rFonts w:hint="eastAsia" w:ascii="黑体" w:hAnsi="黑体" w:eastAsia="黑体" w:cs="黑体"/>
              <w:sz w:val="28"/>
              <w:szCs w:val="28"/>
            </w:rPr>
            <w:fldChar w:fldCharType="separate"/>
          </w:r>
          <w:r>
            <w:rPr>
              <w:rFonts w:hint="eastAsia" w:ascii="黑体" w:hAnsi="黑体" w:eastAsia="黑体" w:cs="黑体"/>
              <w:sz w:val="28"/>
              <w:szCs w:val="28"/>
            </w:rPr>
            <w:t>第</w:t>
          </w:r>
          <w:r>
            <w:rPr>
              <w:rFonts w:hint="eastAsia" w:ascii="黑体" w:hAnsi="黑体" w:eastAsia="黑体" w:cs="黑体"/>
              <w:sz w:val="28"/>
              <w:szCs w:val="28"/>
              <w:lang w:val="en-US" w:eastAsia="zh-CN"/>
            </w:rPr>
            <w:t>七</w:t>
          </w:r>
          <w:r>
            <w:rPr>
              <w:rFonts w:hint="eastAsia" w:ascii="黑体" w:hAnsi="黑体" w:eastAsia="黑体" w:cs="黑体"/>
              <w:sz w:val="28"/>
              <w:szCs w:val="28"/>
            </w:rPr>
            <w:t>章 向海图强拓开放 融通四海促共赢</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_Toc2762 \h </w:instrText>
          </w:r>
          <w:r>
            <w:rPr>
              <w:rFonts w:hint="eastAsia" w:ascii="黑体" w:hAnsi="黑体" w:eastAsia="黑体" w:cs="黑体"/>
              <w:sz w:val="28"/>
              <w:szCs w:val="28"/>
            </w:rPr>
            <w:fldChar w:fldCharType="separate"/>
          </w:r>
          <w:r>
            <w:rPr>
              <w:rFonts w:hint="eastAsia" w:ascii="黑体" w:hAnsi="黑体" w:eastAsia="黑体" w:cs="黑体"/>
              <w:sz w:val="28"/>
              <w:szCs w:val="28"/>
            </w:rPr>
            <w:t>60</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57F68CD1">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_Toc15070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深化开放协同创新区域联动</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_Toc15070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60</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54E33DF">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_Toc2166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推动贸易创新促进外贸提质</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_Toc2166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2138E85">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_Toc16736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强化双向合作重塑引资优势</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_Toc16736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63</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5F817E50">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_Toc16384 </w:instrText>
          </w:r>
          <w:r>
            <w:rPr>
              <w:rFonts w:hint="eastAsia" w:ascii="黑体" w:hAnsi="黑体" w:eastAsia="黑体" w:cs="黑体"/>
              <w:sz w:val="28"/>
              <w:szCs w:val="28"/>
            </w:rPr>
            <w:fldChar w:fldCharType="separate"/>
          </w:r>
          <w:r>
            <w:rPr>
              <w:rFonts w:hint="eastAsia" w:ascii="黑体" w:hAnsi="黑体" w:eastAsia="黑体" w:cs="黑体"/>
              <w:sz w:val="28"/>
              <w:szCs w:val="28"/>
            </w:rPr>
            <w:t>第</w:t>
          </w:r>
          <w:r>
            <w:rPr>
              <w:rFonts w:hint="eastAsia" w:ascii="黑体" w:hAnsi="黑体" w:eastAsia="黑体" w:cs="黑体"/>
              <w:sz w:val="28"/>
              <w:szCs w:val="28"/>
              <w:lang w:val="en-US" w:eastAsia="zh-CN"/>
            </w:rPr>
            <w:t>八</w:t>
          </w:r>
          <w:r>
            <w:rPr>
              <w:rFonts w:hint="eastAsia" w:ascii="黑体" w:hAnsi="黑体" w:eastAsia="黑体" w:cs="黑体"/>
              <w:sz w:val="28"/>
              <w:szCs w:val="28"/>
            </w:rPr>
            <w:t>章</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 xml:space="preserve"> 向绿而行优底色 低碳转型筑美丽</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_Toc16384 \h </w:instrText>
          </w:r>
          <w:r>
            <w:rPr>
              <w:rFonts w:hint="eastAsia" w:ascii="黑体" w:hAnsi="黑体" w:eastAsia="黑体" w:cs="黑体"/>
              <w:sz w:val="28"/>
              <w:szCs w:val="28"/>
            </w:rPr>
            <w:fldChar w:fldCharType="separate"/>
          </w:r>
          <w:r>
            <w:rPr>
              <w:rFonts w:hint="eastAsia" w:ascii="黑体" w:hAnsi="黑体" w:eastAsia="黑体" w:cs="黑体"/>
              <w:sz w:val="28"/>
              <w:szCs w:val="28"/>
            </w:rPr>
            <w:t>66</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275473A3">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_Toc23737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强化源头管控严守绿色底线</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_Toc23737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3E679527">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_Toc16053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推广清洁生产提升绿能消纳</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_Toc16053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728DC04">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_Toc10870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实施绿色制造推动产业转型</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_Toc10870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67</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58FB71C8">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_Toc17283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第四节 稳妥有序推进碳达峰进程</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_Toc17283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B72E4AD">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_Toc28445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第五节 倡导绿色生活培育低碳风尚</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_Toc28445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6EECC544">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_Toc9464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第六节 深化污染防治筑牢生态屏障</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_Toc9464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69</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615BBB6">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_Toc17055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第九章 优化供给惠民生 提质扩面促共富</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_Toc17055 \h </w:instrText>
          </w:r>
          <w:r>
            <w:rPr>
              <w:rFonts w:hint="eastAsia" w:ascii="黑体" w:hAnsi="黑体" w:eastAsia="黑体" w:cs="黑体"/>
              <w:sz w:val="28"/>
              <w:szCs w:val="28"/>
            </w:rPr>
            <w:fldChar w:fldCharType="separate"/>
          </w:r>
          <w:r>
            <w:rPr>
              <w:rFonts w:hint="eastAsia" w:ascii="黑体" w:hAnsi="黑体" w:eastAsia="黑体" w:cs="黑体"/>
              <w:sz w:val="28"/>
              <w:szCs w:val="28"/>
            </w:rPr>
            <w:t>71</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09D9EF6D">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_Toc12405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提质扩容优化公共服务供给</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_Toc12405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71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0B8E1E0D">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_Toc17724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健全机制扎实推进共同富裕</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_Toc17724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73</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FB3F582">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黑体" w:hAnsi="黑体" w:eastAsia="黑体" w:cs="黑体"/>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_Toc5116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第十章 统筹兼顾守底线 固本强基筑平安</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_Toc5116 \h </w:instrText>
          </w:r>
          <w:r>
            <w:rPr>
              <w:rFonts w:hint="eastAsia" w:ascii="黑体" w:hAnsi="黑体" w:eastAsia="黑体" w:cs="黑体"/>
              <w:sz w:val="28"/>
              <w:szCs w:val="28"/>
            </w:rPr>
            <w:fldChar w:fldCharType="separate"/>
          </w:r>
          <w:r>
            <w:rPr>
              <w:rFonts w:hint="eastAsia" w:ascii="黑体" w:hAnsi="黑体" w:eastAsia="黑体" w:cs="黑体"/>
              <w:sz w:val="28"/>
              <w:szCs w:val="28"/>
            </w:rPr>
            <w:t>78</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709A478A">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_Toc18607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强化党建引领创新治理格局</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_Toc18607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78</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1C8D459C">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_Toc12077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坚持防控一体筑牢安全屏障</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_Toc12077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80</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109CB507">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_Toc30624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深化崇法善治夯实法治根基</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_Toc30624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1B6F7C1">
          <w:pPr>
            <w:pStyle w:val="11"/>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_Toc19827 </w:instrText>
          </w:r>
          <w:r>
            <w:rPr>
              <w:rFonts w:hint="eastAsia" w:ascii="黑体" w:hAnsi="黑体" w:eastAsia="黑体" w:cs="黑体"/>
              <w:sz w:val="28"/>
              <w:szCs w:val="28"/>
            </w:rPr>
            <w:fldChar w:fldCharType="separate"/>
          </w:r>
          <w:r>
            <w:rPr>
              <w:rFonts w:hint="eastAsia" w:ascii="黑体" w:hAnsi="黑体" w:eastAsia="黑体" w:cs="黑体"/>
              <w:sz w:val="28"/>
              <w:szCs w:val="28"/>
              <w:lang w:val="en-US" w:eastAsia="zh-CN"/>
            </w:rPr>
            <w:t>第十一章 凝心聚力强保障 笃行实干促落实</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_Toc19827 \h </w:instrText>
          </w:r>
          <w:r>
            <w:rPr>
              <w:rFonts w:hint="eastAsia" w:ascii="黑体" w:hAnsi="黑体" w:eastAsia="黑体" w:cs="黑体"/>
              <w:sz w:val="28"/>
              <w:szCs w:val="28"/>
            </w:rPr>
            <w:fldChar w:fldCharType="separate"/>
          </w:r>
          <w:r>
            <w:rPr>
              <w:rFonts w:hint="eastAsia" w:ascii="黑体" w:hAnsi="黑体" w:eastAsia="黑体" w:cs="黑体"/>
              <w:sz w:val="28"/>
              <w:szCs w:val="28"/>
            </w:rPr>
            <w:t>85</w:t>
          </w:r>
          <w:r>
            <w:rPr>
              <w:rFonts w:hint="eastAsia" w:ascii="黑体" w:hAnsi="黑体" w:eastAsia="黑体" w:cs="黑体"/>
              <w:sz w:val="28"/>
              <w:szCs w:val="28"/>
            </w:rPr>
            <w:fldChar w:fldCharType="end"/>
          </w:r>
          <w:r>
            <w:rPr>
              <w:rFonts w:hint="eastAsia" w:ascii="黑体" w:hAnsi="黑体" w:eastAsia="黑体" w:cs="黑体"/>
              <w:sz w:val="28"/>
              <w:szCs w:val="28"/>
            </w:rPr>
            <w:fldChar w:fldCharType="end"/>
          </w:r>
        </w:p>
        <w:p w14:paraId="5C205FDB">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_Toc5541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第一节 坚持加强党的全面领导</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_Toc5541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2276B6D1">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_Toc6780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第二节 健全完善配套政策体系</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_Toc6780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644273D6">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_Toc1121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第三节 深化政企协同联动机制</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_Toc1121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85</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7A094C33">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_Toc27490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第四节 强化关键要素精准保障</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_Toc27490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622D9C5C">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_Toc24192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第五节 构筑人才引育留用体系</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_Toc24192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4B785FCC">
          <w:pPr>
            <w:pStyle w:val="12"/>
            <w:keepNext w:val="0"/>
            <w:keepLines w:val="0"/>
            <w:pageBreakBefore w:val="0"/>
            <w:widowControl/>
            <w:tabs>
              <w:tab w:val="right" w:leader="dot" w:pos="8306"/>
            </w:tabs>
            <w:kinsoku/>
            <w:wordWrap/>
            <w:topLinePunct w:val="0"/>
            <w:autoSpaceDE w:val="0"/>
            <w:autoSpaceDN w:val="0"/>
            <w:bidi w:val="0"/>
            <w:adjustRightInd w:val="0"/>
            <w:snapToGrid w:val="0"/>
            <w:spacing w:beforeLines="0" w:afterLines="0" w:line="560" w:lineRule="exac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HYPERLINK \l _Toc2613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lang w:val="en-US" w:eastAsia="zh-CN"/>
            </w:rPr>
            <w:t>第六节 加大财税金融支持力度</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PAGEREF _Toc2613 \h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87</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fldChar w:fldCharType="end"/>
          </w:r>
        </w:p>
        <w:p w14:paraId="21FAD557">
          <w:pPr>
            <w:pStyle w:val="6"/>
            <w:keepNext w:val="0"/>
            <w:keepLines w:val="0"/>
            <w:pageBreakBefore w:val="0"/>
            <w:widowControl/>
            <w:kinsoku/>
            <w:wordWrap/>
            <w:topLinePunct w:val="0"/>
            <w:autoSpaceDE w:val="0"/>
            <w:autoSpaceDN w:val="0"/>
            <w:bidi w:val="0"/>
            <w:adjustRightInd w:val="0"/>
            <w:snapToGrid w:val="0"/>
            <w:spacing w:before="0" w:beforeLines="0" w:afterLines="0" w:line="560" w:lineRule="exact"/>
            <w:textAlignment w:val="baseline"/>
            <w:rPr>
              <w:rFonts w:hint="eastAsia" w:ascii="仿宋_GB2312" w:hAnsi="仿宋_GB2312" w:eastAsia="仿宋_GB2312" w:cs="仿宋_GB2312"/>
              <w:sz w:val="28"/>
              <w:szCs w:val="28"/>
              <w:lang w:val="en-US" w:eastAsia="en-US"/>
            </w:rPr>
          </w:pPr>
          <w:r>
            <w:rPr>
              <w:rFonts w:hint="eastAsia" w:ascii="仿宋_GB2312" w:hAnsi="仿宋_GB2312" w:eastAsia="仿宋_GB2312" w:cs="仿宋_GB2312"/>
              <w:sz w:val="28"/>
              <w:szCs w:val="28"/>
            </w:rPr>
            <w:fldChar w:fldCharType="end"/>
          </w:r>
        </w:p>
      </w:sdtContent>
    </w:sdt>
    <w:p w14:paraId="2F3212ED">
      <w:pPr>
        <w:pStyle w:val="14"/>
        <w:keepNext w:val="0"/>
        <w:keepLines w:val="0"/>
        <w:pageBreakBefore w:val="0"/>
        <w:widowControl/>
        <w:kinsoku/>
        <w:wordWrap/>
        <w:overflowPunct/>
        <w:topLinePunct w:val="0"/>
        <w:autoSpaceDE w:val="0"/>
        <w:autoSpaceDN w:val="0"/>
        <w:bidi w:val="0"/>
        <w:adjustRightInd w:val="0"/>
        <w:snapToGrid w:val="0"/>
        <w:spacing w:before="0" w:beforeLines="0" w:after="0" w:afterLines="0" w:line="560" w:lineRule="exact"/>
        <w:textAlignment w:val="baseline"/>
        <w:rPr>
          <w:rFonts w:hint="eastAsia" w:ascii="仿宋_GB2312" w:hAnsi="仿宋_GB2312" w:eastAsia="仿宋_GB2312" w:cs="仿宋_GB2312"/>
          <w:sz w:val="28"/>
          <w:szCs w:val="28"/>
        </w:rPr>
      </w:pPr>
    </w:p>
    <w:p w14:paraId="3993FEA0">
      <w:pPr>
        <w:kinsoku/>
        <w:spacing w:beforeLines="0" w:afterLines="0" w:line="560" w:lineRule="exact"/>
        <w:sectPr>
          <w:footerReference r:id="rId5" w:type="default"/>
          <w:pgSz w:w="11906" w:h="16838"/>
          <w:pgMar w:top="1440" w:right="1800" w:bottom="1440" w:left="1800" w:header="851" w:footer="992" w:gutter="0"/>
          <w:pgNumType w:start="1"/>
          <w:cols w:space="425" w:num="1"/>
          <w:docGrid w:type="lines" w:linePitch="312" w:charSpace="0"/>
        </w:sectPr>
      </w:pPr>
    </w:p>
    <w:p w14:paraId="4BB2BED7">
      <w:pPr>
        <w:keepNext w:val="0"/>
        <w:keepLines w:val="0"/>
        <w:pageBreakBefore w:val="0"/>
        <w:widowControl/>
        <w:tabs>
          <w:tab w:val="left" w:pos="0"/>
        </w:tabs>
        <w:kinsoku/>
        <w:wordWrap/>
        <w:overflowPunct/>
        <w:topLinePunct w:val="0"/>
        <w:autoSpaceDE w:val="0"/>
        <w:autoSpaceDN w:val="0"/>
        <w:bidi w:val="0"/>
        <w:adjustRightInd w:val="0"/>
        <w:snapToGrid w:val="0"/>
        <w:spacing w:beforeLines="0" w:afterLines="0" w:line="560" w:lineRule="exact"/>
        <w:jc w:val="center"/>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前 言</w:t>
      </w:r>
    </w:p>
    <w:p w14:paraId="2F18615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eastAsia" w:ascii="仿宋_GB2312" w:hAnsi="仿宋_GB2312" w:eastAsia="仿宋_GB2312" w:cs="仿宋_GB2312"/>
          <w:lang w:val="en-US" w:eastAsia="zh-CN"/>
        </w:rPr>
      </w:pPr>
    </w:p>
    <w:p w14:paraId="5D67953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十五五”时期是我国基本实现社会主义现代化夯实基础、全面发力的关键时期，是山东省坚定扛牢“走在前、挑大梁”使命担当、向基本建成新时代社会主义现代化强省迈进的决定性阶段，也是威海持续深化“精致城市·幸福威海”建设的关键节点，更是威海经济技术开发区（以下简称“经开区”）锚定对外开放前沿、产业升级主阵地定位，深耕实体经济、培育新质生产力、提升治理效能，实现高质量发展、迈向现代化建设的攻坚奋进期。《威海经济技术开发区国民经济和社会发展第十五个五年规划纲要》的编制，以习近平新时代中国特色社会主义思想为指导，全面贯彻中央和省委、市委“十五五”规划精神，紧扣经开区作为威海对外开放前沿、产业升级主阵地的功能定位，系统阐明未来五年经济社会发展的具体目标、重点任务与重大举措。本规划既是落实省市战略部署的“施工图”，也是激发市场活力的“导向标”，更是经开区履职尽责的“责任状”，将凝聚全区人民意志，为谱写中国式现代化经开区篇章筑牢行动根基。</w:t>
      </w:r>
    </w:p>
    <w:p w14:paraId="00E1BB29">
      <w:pPr>
        <w:pStyle w:val="3"/>
        <w:pageBreakBefore w:val="0"/>
        <w:widowControl/>
        <w:numPr>
          <w:ilvl w:val="0"/>
          <w:numId w:val="1"/>
        </w:numPr>
        <w:kinsoku/>
        <w:wordWrap/>
        <w:overflowPunct/>
        <w:topLinePunct w:val="0"/>
        <w:autoSpaceDE w:val="0"/>
        <w:autoSpaceDN w:val="0"/>
        <w:bidi w:val="0"/>
        <w:adjustRightInd w:val="0"/>
        <w:snapToGrid w:val="0"/>
        <w:spacing w:before="0" w:beforeLines="0" w:after="0" w:afterLines="0" w:line="560" w:lineRule="exact"/>
        <w:ind w:firstLine="0"/>
        <w:jc w:val="both"/>
        <w:textAlignment w:val="baseline"/>
        <w:sectPr>
          <w:footerReference r:id="rId6" w:type="default"/>
          <w:pgSz w:w="11906" w:h="16838"/>
          <w:pgMar w:top="1440" w:right="1800" w:bottom="1440" w:left="1800" w:header="851" w:footer="992" w:gutter="0"/>
          <w:pgNumType w:start="1"/>
          <w:cols w:space="425" w:num="1"/>
          <w:docGrid w:type="lines" w:linePitch="312" w:charSpace="0"/>
        </w:sectPr>
      </w:pPr>
    </w:p>
    <w:p w14:paraId="27B264DF">
      <w:pPr>
        <w:pStyle w:val="3"/>
        <w:kinsoku/>
        <w:bidi w:val="0"/>
        <w:spacing w:before="0" w:beforeLines="0" w:after="0" w:afterLines="0" w:line="560" w:lineRule="exact"/>
        <w:rPr>
          <w:rFonts w:hint="default" w:ascii="Times New Roman" w:hAnsi="Times New Roman" w:cs="Times New Roman"/>
          <w:sz w:val="32"/>
          <w:szCs w:val="32"/>
          <w:lang w:eastAsia="zh-CN"/>
        </w:rPr>
      </w:pPr>
      <w:bookmarkStart w:id="0" w:name="_Toc14548"/>
      <w:r>
        <w:rPr>
          <w:rFonts w:hint="default" w:ascii="Times New Roman" w:hAnsi="Times New Roman" w:cs="Times New Roman"/>
          <w:sz w:val="32"/>
          <w:szCs w:val="32"/>
          <w:lang w:val="en-US" w:eastAsia="en-US"/>
        </w:rPr>
        <w:t>第一章</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继往开来启新程</w:t>
      </w:r>
      <w:r>
        <w:rPr>
          <w:rFonts w:hint="default" w:ascii="Times New Roman" w:hAnsi="Times New Roman" w:cs="Times New Roman"/>
          <w:sz w:val="32"/>
          <w:szCs w:val="32"/>
          <w:lang w:eastAsia="zh-CN"/>
        </w:rPr>
        <w:t>，</w:t>
      </w:r>
      <w:r>
        <w:rPr>
          <w:rFonts w:hint="default" w:ascii="Times New Roman" w:hAnsi="Times New Roman" w:cs="Times New Roman"/>
          <w:sz w:val="32"/>
          <w:szCs w:val="32"/>
        </w:rPr>
        <w:t>实干担当筑强区</w:t>
      </w:r>
      <w:bookmarkEnd w:id="0"/>
    </w:p>
    <w:p w14:paraId="3FA787EB">
      <w:pPr>
        <w:pStyle w:val="4"/>
        <w:keepNext w:val="0"/>
        <w:keepLines w:val="0"/>
        <w:pageBreakBefore w:val="0"/>
        <w:widowControl/>
        <w:kinsoku/>
        <w:wordWrap/>
        <w:overflowPunct/>
        <w:topLinePunct w:val="0"/>
        <w:autoSpaceDE w:val="0"/>
        <w:autoSpaceDN w:val="0"/>
        <w:bidi w:val="0"/>
        <w:adjustRightInd w:val="0"/>
        <w:snapToGrid w:val="0"/>
        <w:spacing w:before="0" w:beforeLines="0" w:after="0" w:afterLines="0" w:line="560" w:lineRule="exact"/>
        <w:textAlignment w:val="baseline"/>
        <w:rPr>
          <w:rFonts w:hint="default" w:ascii="Times New Roman" w:hAnsi="Times New Roman" w:cs="Times New Roman"/>
          <w:lang w:val="en-US" w:eastAsia="zh-CN"/>
        </w:rPr>
      </w:pPr>
      <w:bookmarkStart w:id="1" w:name="bookmark55"/>
      <w:bookmarkEnd w:id="1"/>
      <w:bookmarkStart w:id="2" w:name="_Toc9576"/>
    </w:p>
    <w:p w14:paraId="0FEAC8B7">
      <w:pPr>
        <w:pStyle w:val="4"/>
        <w:keepNext w:val="0"/>
        <w:keepLines w:val="0"/>
        <w:pageBreakBefore w:val="0"/>
        <w:widowControl/>
        <w:kinsoku/>
        <w:wordWrap/>
        <w:overflowPunct/>
        <w:topLinePunct w:val="0"/>
        <w:autoSpaceDE w:val="0"/>
        <w:autoSpaceDN w:val="0"/>
        <w:bidi w:val="0"/>
        <w:adjustRightInd w:val="0"/>
        <w:snapToGrid w:val="0"/>
        <w:spacing w:before="0" w:beforeLines="0" w:after="0" w:afterLines="0" w:line="560" w:lineRule="exact"/>
        <w:textAlignment w:val="baseline"/>
        <w:rPr>
          <w:rFonts w:hint="default" w:ascii="Times New Roman" w:hAnsi="Times New Roman" w:cs="Times New Roman"/>
          <w:lang w:val="en-US" w:eastAsia="zh-CN"/>
        </w:rPr>
      </w:pPr>
      <w:r>
        <w:rPr>
          <w:rFonts w:hint="default" w:ascii="Times New Roman" w:hAnsi="Times New Roman" w:cs="Times New Roman"/>
          <w:lang w:val="en-US" w:eastAsia="zh-CN"/>
        </w:rPr>
        <w:t>第一节 系统总结“十四五”发展成效</w:t>
      </w:r>
      <w:bookmarkEnd w:id="2"/>
    </w:p>
    <w:p w14:paraId="1596E23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十四五”时期是经开区发展进程中意义重大的五年。面对错综复杂的外部环境、艰巨繁重的改革发展稳定任务，全区坚持以习近平新时代中国特色社会主义思想为指导，在市委、市政府的坚强领导下，紧密围绕威海城市战略定位，扎实推进“1369”高质量发展行动计划部署，迎难而上、砥砺前行，续写了经济稳健增长、社会和谐稳定的奋进篇章。</w:t>
      </w:r>
    </w:p>
    <w:p w14:paraId="5CBD953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lang w:val="en-US" w:eastAsia="zh-CN"/>
        </w:rPr>
      </w:pPr>
      <w:r>
        <w:rPr>
          <w:rFonts w:hint="default" w:ascii="Times New Roman" w:hAnsi="Times New Roman" w:eastAsia="仿宋_GB2312" w:cs="Times New Roman"/>
          <w:b/>
          <w:bCs w:val="0"/>
          <w:lang w:val="en-US" w:eastAsia="zh-CN"/>
        </w:rPr>
        <w:t>综合经济实力进一步增强。</w:t>
      </w:r>
      <w:r>
        <w:rPr>
          <w:rFonts w:hint="default" w:ascii="Times New Roman" w:hAnsi="Times New Roman" w:eastAsia="仿宋_GB2312" w:cs="Times New Roman"/>
          <w:lang w:val="en-US" w:eastAsia="zh-CN"/>
        </w:rPr>
        <w:t>“十四五”期间，全区经济稳健向好，核心指标稳步攀升，生产总值从2020年319.37亿元增至2025年457.01亿元，年均增长7.4%；</w:t>
      </w:r>
      <w:r>
        <w:rPr>
          <w:rFonts w:hint="default" w:ascii="Times New Roman" w:hAnsi="Times New Roman" w:eastAsia="仿宋_GB2312" w:cs="Times New Roman"/>
          <w:color w:val="auto"/>
          <w:lang w:val="en-US" w:eastAsia="zh-CN"/>
        </w:rPr>
        <w:t>人均生产总值由2020年的</w:t>
      </w:r>
      <w:r>
        <w:rPr>
          <w:rFonts w:hint="eastAsia" w:ascii="Times New Roman" w:hAnsi="Times New Roman" w:cs="Times New Roman"/>
          <w:color w:val="auto"/>
          <w:lang w:val="en-US" w:eastAsia="zh-CN"/>
        </w:rPr>
        <w:t>1.73</w:t>
      </w:r>
      <w:r>
        <w:rPr>
          <w:rFonts w:hint="default" w:ascii="Times New Roman" w:hAnsi="Times New Roman" w:eastAsia="仿宋_GB2312" w:cs="Times New Roman"/>
          <w:color w:val="auto"/>
          <w:lang w:val="en-US" w:eastAsia="zh-CN"/>
        </w:rPr>
        <w:t>万美元增加到2025年的2.3万美元</w:t>
      </w:r>
      <w:r>
        <w:rPr>
          <w:rFonts w:hint="eastAsia" w:ascii="Times New Roman" w:hAnsi="Times New Roman" w:cs="Times New Roman"/>
          <w:color w:val="auto"/>
          <w:lang w:val="en-US" w:eastAsia="zh-CN"/>
        </w:rPr>
        <w:t>；</w:t>
      </w:r>
      <w:r>
        <w:rPr>
          <w:rFonts w:hint="default" w:ascii="Times New Roman" w:hAnsi="Times New Roman" w:eastAsia="仿宋_GB2312" w:cs="Times New Roman"/>
          <w:lang w:val="en-US" w:eastAsia="zh-CN"/>
        </w:rPr>
        <w:t>投资项目建设成效突出，累计引进重点产业项目75个、完成投资427亿元，固定资产投资、工业技改投资、实际利用外资年均增速分别达5.1%、12.7%、25.3%，芜船</w:t>
      </w:r>
      <w:r>
        <w:rPr>
          <w:rFonts w:hint="default" w:ascii="Times New Roman" w:hAnsi="Times New Roman" w:cs="Times New Roman"/>
          <w:lang w:val="en-US" w:eastAsia="zh-CN"/>
        </w:rPr>
        <w:t>船舶</w:t>
      </w:r>
      <w:r>
        <w:rPr>
          <w:rFonts w:hint="default" w:ascii="Times New Roman" w:hAnsi="Times New Roman" w:eastAsia="仿宋_GB2312" w:cs="Times New Roman"/>
          <w:lang w:val="en-US" w:eastAsia="zh-CN"/>
        </w:rPr>
        <w:t>、</w:t>
      </w:r>
      <w:r>
        <w:rPr>
          <w:rFonts w:hint="default" w:ascii="Times New Roman" w:hAnsi="Times New Roman" w:eastAsia="仿宋_GB2312" w:cs="Times New Roman"/>
          <w:b w:val="0"/>
          <w:bCs w:val="0"/>
          <w:color w:val="auto"/>
          <w:kern w:val="2"/>
          <w:sz w:val="32"/>
          <w:szCs w:val="32"/>
          <w:lang w:val="en-US" w:eastAsia="zh-CN" w:bidi="ar-SA"/>
        </w:rPr>
        <w:t>泰昇</w:t>
      </w:r>
      <w:r>
        <w:rPr>
          <w:rFonts w:hint="default" w:ascii="Times New Roman" w:hAnsi="Times New Roman" w:eastAsia="仿宋_GB2312" w:cs="Times New Roman"/>
          <w:lang w:val="en-US" w:eastAsia="zh-CN"/>
        </w:rPr>
        <w:t>海缆泓淋电力</w:t>
      </w:r>
      <w:r>
        <w:rPr>
          <w:rFonts w:hint="default" w:ascii="Times New Roman" w:hAnsi="Times New Roman" w:cs="Times New Roman"/>
          <w:lang w:val="en-US" w:eastAsia="zh-CN"/>
        </w:rPr>
        <w:t>新能源产业园</w:t>
      </w:r>
      <w:r>
        <w:rPr>
          <w:rFonts w:hint="default" w:ascii="Times New Roman" w:hAnsi="Times New Roman" w:eastAsia="仿宋_GB2312" w:cs="Times New Roman"/>
          <w:lang w:val="en-US" w:eastAsia="zh-CN"/>
        </w:rPr>
        <w:t>、腾森轮胎</w:t>
      </w:r>
      <w:r>
        <w:rPr>
          <w:rFonts w:hint="default" w:ascii="Times New Roman" w:hAnsi="Times New Roman" w:cs="Times New Roman"/>
          <w:lang w:val="en-US" w:eastAsia="zh-CN"/>
        </w:rPr>
        <w:t>高端子午胎</w:t>
      </w:r>
      <w:r>
        <w:rPr>
          <w:rFonts w:hint="default" w:ascii="Times New Roman" w:hAnsi="Times New Roman" w:eastAsia="仿宋_GB2312" w:cs="Times New Roman"/>
          <w:lang w:val="en-US" w:eastAsia="zh-CN"/>
        </w:rPr>
        <w:t>等</w:t>
      </w:r>
      <w:r>
        <w:rPr>
          <w:rFonts w:hint="default" w:ascii="Times New Roman" w:hAnsi="Times New Roman" w:cs="Times New Roman"/>
          <w:lang w:val="en-US" w:eastAsia="zh-CN"/>
        </w:rPr>
        <w:t>一批</w:t>
      </w:r>
      <w:r>
        <w:rPr>
          <w:rFonts w:hint="default" w:ascii="Times New Roman" w:hAnsi="Times New Roman" w:eastAsia="仿宋_GB2312" w:cs="Times New Roman"/>
          <w:lang w:val="en-US" w:eastAsia="zh-CN"/>
        </w:rPr>
        <w:t>标志性项目落地见效，扭转制造业“群山无峰”局面，</w:t>
      </w:r>
      <w:r>
        <w:rPr>
          <w:rFonts w:hint="default" w:ascii="Times New Roman" w:hAnsi="Times New Roman" w:cs="Times New Roman"/>
          <w:lang w:val="en-US" w:eastAsia="zh-CN"/>
        </w:rPr>
        <w:t>船舶与</w:t>
      </w:r>
      <w:r>
        <w:rPr>
          <w:rFonts w:hint="default" w:ascii="Times New Roman" w:hAnsi="Times New Roman" w:eastAsia="仿宋_GB2312" w:cs="Times New Roman"/>
          <w:lang w:val="en-US" w:eastAsia="zh-CN"/>
        </w:rPr>
        <w:t>海工装备、新</w:t>
      </w:r>
      <w:r>
        <w:rPr>
          <w:rFonts w:hint="default" w:ascii="Times New Roman" w:hAnsi="Times New Roman" w:cs="Times New Roman"/>
          <w:lang w:val="en-US" w:eastAsia="zh-CN"/>
        </w:rPr>
        <w:t>一代信息技术</w:t>
      </w:r>
      <w:r>
        <w:rPr>
          <w:rFonts w:hint="default" w:ascii="Times New Roman" w:hAnsi="Times New Roman" w:eastAsia="仿宋_GB2312" w:cs="Times New Roman"/>
          <w:lang w:val="en-US" w:eastAsia="zh-CN"/>
        </w:rPr>
        <w:t>等主导产业实现龙头引领突破，产业能级显著提升。</w:t>
      </w:r>
    </w:p>
    <w:p w14:paraId="59A951E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lang w:val="en-US" w:eastAsia="en-US"/>
        </w:rPr>
      </w:pPr>
      <w:r>
        <w:rPr>
          <w:rFonts w:hint="default" w:ascii="Times New Roman" w:hAnsi="Times New Roman" w:eastAsia="仿宋_GB2312" w:cs="Times New Roman"/>
          <w:b/>
          <w:bCs w:val="0"/>
          <w:lang w:val="en-US" w:eastAsia="zh-CN"/>
        </w:rPr>
        <w:t>产业结构持续优化。</w:t>
      </w:r>
      <w:r>
        <w:rPr>
          <w:rFonts w:hint="default" w:ascii="Times New Roman" w:hAnsi="Times New Roman" w:eastAsia="仿宋_GB2312" w:cs="Times New Roman"/>
          <w:lang w:val="en-US" w:eastAsia="zh-CN"/>
        </w:rPr>
        <w:t>聚焦高质量发展主线，推动产业转型升级与链式集聚，三次产业</w:t>
      </w:r>
      <w:r>
        <w:rPr>
          <w:rFonts w:hint="default" w:ascii="Times New Roman" w:hAnsi="Times New Roman" w:cs="Times New Roman"/>
          <w:lang w:val="en-US" w:eastAsia="zh-CN"/>
        </w:rPr>
        <w:t>结构由</w:t>
      </w:r>
      <w:r>
        <w:rPr>
          <w:rFonts w:hint="default" w:ascii="Times New Roman" w:hAnsi="Times New Roman" w:eastAsia="仿宋_GB2312" w:cs="Times New Roman"/>
          <w:lang w:val="en-US" w:eastAsia="zh-CN"/>
        </w:rPr>
        <w:t>2020年的2.0:37.4:60.6</w:t>
      </w:r>
      <w:r>
        <w:rPr>
          <w:rFonts w:hint="default" w:ascii="Times New Roman" w:hAnsi="Times New Roman" w:cs="Times New Roman"/>
          <w:lang w:val="en-US" w:eastAsia="zh-CN"/>
        </w:rPr>
        <w:t>优化到</w:t>
      </w:r>
      <w:r>
        <w:rPr>
          <w:rFonts w:hint="default" w:ascii="Times New Roman" w:hAnsi="Times New Roman" w:eastAsia="仿宋_GB2312" w:cs="Times New Roman"/>
          <w:lang w:val="en-US" w:eastAsia="zh-CN"/>
        </w:rPr>
        <w:t>2025年</w:t>
      </w:r>
      <w:r>
        <w:rPr>
          <w:rFonts w:hint="default" w:ascii="Times New Roman" w:hAnsi="Times New Roman" w:cs="Times New Roman"/>
          <w:lang w:val="en-US" w:eastAsia="zh-CN"/>
        </w:rPr>
        <w:t>的</w:t>
      </w:r>
      <w:r>
        <w:rPr>
          <w:rFonts w:hint="default" w:ascii="Times New Roman" w:hAnsi="Times New Roman" w:eastAsia="仿宋_GB2312" w:cs="Times New Roman"/>
          <w:lang w:val="en-US" w:eastAsia="zh-CN"/>
        </w:rPr>
        <w:t>1.1:39.3:59.6，呈现“一产降、二产升、三产稳”特征，二产占比提升1.9个百分点</w:t>
      </w:r>
      <w:r>
        <w:rPr>
          <w:rFonts w:hint="default" w:ascii="Times New Roman" w:hAnsi="Times New Roman" w:cs="Times New Roman"/>
          <w:lang w:val="en-US" w:eastAsia="zh-CN"/>
        </w:rPr>
        <w:t>，对经济的拉动作用明显</w:t>
      </w:r>
      <w:r>
        <w:rPr>
          <w:rFonts w:hint="default" w:ascii="Times New Roman" w:hAnsi="Times New Roman" w:eastAsia="仿宋_GB2312" w:cs="Times New Roman"/>
          <w:lang w:val="en-US" w:eastAsia="zh-CN"/>
        </w:rPr>
        <w:t>；2025年规上工业总产值突破396亿元，较2020年增长37.3%，年均增速6.5%；船舶与海工装备产业入选国家、省级先进制造业集群，工业营收过亿元企业达47家</w:t>
      </w:r>
      <w:r>
        <w:rPr>
          <w:rFonts w:hint="default" w:ascii="Times New Roman" w:hAnsi="Times New Roman" w:cs="Times New Roman"/>
          <w:lang w:val="en-US" w:eastAsia="zh-CN"/>
        </w:rPr>
        <w:t>；</w:t>
      </w:r>
      <w:r>
        <w:rPr>
          <w:rFonts w:hint="default" w:ascii="Times New Roman" w:hAnsi="Times New Roman" w:eastAsia="仿宋_GB2312" w:cs="Times New Roman"/>
          <w:lang w:val="en-US" w:eastAsia="zh-CN"/>
        </w:rPr>
        <w:t>规上服务总产值突破87亿元，较2020年增长</w:t>
      </w:r>
      <w:r>
        <w:rPr>
          <w:rFonts w:hint="eastAsia" w:ascii="Times New Roman" w:hAnsi="Times New Roman" w:cs="Times New Roman"/>
          <w:color w:val="auto"/>
          <w:lang w:val="en-US" w:eastAsia="zh-CN"/>
        </w:rPr>
        <w:t>217.34</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lang w:val="en-US" w:eastAsia="zh-CN"/>
        </w:rPr>
        <w:t>，数字经济、服务贸易和总部经济企业累计达692家，新增省级以上单项冠军、专精特新、瞪羚企业等200多家，</w:t>
      </w:r>
      <w:r>
        <w:rPr>
          <w:rFonts w:hint="default" w:ascii="Times New Roman" w:hAnsi="Times New Roman" w:cs="Times New Roman"/>
          <w:lang w:val="en-US" w:eastAsia="zh-CN"/>
        </w:rPr>
        <w:t>进一步夯实产业基础</w:t>
      </w:r>
      <w:r>
        <w:rPr>
          <w:rFonts w:hint="default" w:ascii="Times New Roman" w:hAnsi="Times New Roman" w:eastAsia="仿宋_GB2312" w:cs="Times New Roman"/>
          <w:lang w:val="en-US" w:eastAsia="zh-CN"/>
        </w:rPr>
        <w:t>。</w:t>
      </w:r>
    </w:p>
    <w:p w14:paraId="75BFC536">
      <w:pPr>
        <w:pStyle w:val="6"/>
        <w:widowControl w:val="0"/>
        <w:kinsoku/>
        <w:overflowPunct w:val="0"/>
        <w:spacing w:beforeLines="0" w:afterLines="0" w:line="560" w:lineRule="exact"/>
        <w:jc w:val="both"/>
        <w:rPr>
          <w:rFonts w:hint="default" w:ascii="Times New Roman" w:hAnsi="Times New Roman" w:eastAsia="仿宋_GB2312" w:cs="Times New Roman"/>
          <w:lang w:val="en-US" w:eastAsia="zh-CN"/>
        </w:rPr>
      </w:pPr>
      <w:r>
        <w:rPr>
          <w:rFonts w:hint="default" w:ascii="Times New Roman" w:hAnsi="Times New Roman" w:eastAsia="仿宋_GB2312" w:cs="Times New Roman"/>
          <w:b/>
          <w:bCs w:val="0"/>
          <w:lang w:val="en-US" w:eastAsia="zh-CN"/>
        </w:rPr>
        <w:t>科技创新塑造新优势。</w:t>
      </w:r>
      <w:r>
        <w:rPr>
          <w:rFonts w:hint="default" w:ascii="Times New Roman" w:hAnsi="Times New Roman" w:eastAsia="仿宋_GB2312" w:cs="Times New Roman"/>
          <w:lang w:val="en-US" w:eastAsia="zh-CN"/>
        </w:rPr>
        <w:t>着力推进强科技行动，因地制宜发展新质生产力，全社会研发经费投入由2020年的6.1亿元增加到2025年的12.5亿元，年均增长15.4%</w:t>
      </w:r>
      <w:r>
        <w:rPr>
          <w:rFonts w:hint="default" w:ascii="Times New Roman" w:hAnsi="Times New Roman" w:cs="Times New Roman"/>
          <w:lang w:val="en-US" w:eastAsia="zh-CN"/>
        </w:rPr>
        <w:t>；</w:t>
      </w:r>
      <w:r>
        <w:rPr>
          <w:rFonts w:hint="default" w:ascii="Times New Roman" w:hAnsi="Times New Roman" w:eastAsia="仿宋_GB2312" w:cs="Times New Roman"/>
          <w:lang w:val="en-US" w:eastAsia="zh-CN"/>
        </w:rPr>
        <w:t>每万人口高价值发明专利从3.5件增加至13.9件，年均增长31.8%</w:t>
      </w:r>
      <w:r>
        <w:rPr>
          <w:rFonts w:hint="default" w:ascii="Times New Roman" w:hAnsi="Times New Roman" w:cs="Times New Roman"/>
          <w:lang w:val="en-US" w:eastAsia="zh-CN"/>
        </w:rPr>
        <w:t>；</w:t>
      </w:r>
      <w:r>
        <w:rPr>
          <w:rFonts w:hint="default" w:ascii="Times New Roman" w:hAnsi="Times New Roman" w:eastAsia="仿宋_GB2312" w:cs="Times New Roman"/>
          <w:lang w:val="en-US" w:eastAsia="zh-CN"/>
        </w:rPr>
        <w:t>高新技术产值占比从51.2%提高至67.5%，年均增长5.7%。截至2025年底，高新技术企业、国家级科技型中小企业总量突破1000家；各类研发、技术、设计中心达128家；中国地质大学威海研究院、国家级“中日韩创新合作中心威海基地”落地，省级“国际人才港”投用，智慧谷服务贸易产业园126万平方米楼宇全部建成启用并入驻创新型企业746家，“1+3+N”创新体系全面建成。</w:t>
      </w:r>
    </w:p>
    <w:p w14:paraId="52BD7B1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3"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b/>
          <w:bCs w:val="0"/>
          <w:lang w:val="en-US" w:eastAsia="zh-CN"/>
        </w:rPr>
        <w:t>对外开放迈出新步伐。</w:t>
      </w:r>
      <w:r>
        <w:rPr>
          <w:rFonts w:hint="default" w:ascii="Times New Roman" w:hAnsi="Times New Roman" w:eastAsia="仿宋_GB2312" w:cs="Times New Roman"/>
          <w:lang w:val="en-US" w:eastAsia="zh-CN"/>
        </w:rPr>
        <w:t>深入实施“开放活区”战略，中欧集装箱班列、海铁联运班列相继开通，中韩自贸区地方经济合作示范区产业园建设纵深推进；泛杰产业园、润泽物流园、冠和生鲜基地等9个总投资30亿元的临港物流项目全面投运，开放通道与载体能级显著提升。外资集聚效应持续释放，外资企业总量占全市30.2%，五年累计新增数稳居全市首位；区内韩资企业达</w:t>
      </w:r>
      <w:r>
        <w:rPr>
          <w:rFonts w:hint="eastAsia" w:ascii="Times New Roman" w:hAnsi="Times New Roman" w:cs="Times New Roman"/>
          <w:lang w:val="en-US" w:eastAsia="zh-CN"/>
        </w:rPr>
        <w:t>454</w:t>
      </w:r>
      <w:r>
        <w:rPr>
          <w:rFonts w:hint="default" w:ascii="Times New Roman" w:hAnsi="Times New Roman" w:eastAsia="仿宋_GB2312" w:cs="Times New Roman"/>
          <w:lang w:val="en-US" w:eastAsia="zh-CN"/>
        </w:rPr>
        <w:t>家，占全市</w:t>
      </w:r>
      <w:r>
        <w:rPr>
          <w:rFonts w:hint="eastAsia" w:ascii="Times New Roman" w:hAnsi="Times New Roman" w:cs="Times New Roman"/>
          <w:lang w:val="en-US" w:eastAsia="zh-CN"/>
        </w:rPr>
        <w:t>的比重超过40</w:t>
      </w:r>
      <w:r>
        <w:rPr>
          <w:rFonts w:hint="default" w:ascii="Times New Roman" w:hAnsi="Times New Roman" w:eastAsia="仿宋_GB2312" w:cs="Times New Roman"/>
          <w:lang w:val="en-US" w:eastAsia="zh-CN"/>
        </w:rPr>
        <w:t>%，对韩合作核心优势不断巩固放大。外贸主体加速扩容</w:t>
      </w:r>
      <w:r>
        <w:rPr>
          <w:rFonts w:hint="default" w:ascii="Times New Roman" w:hAnsi="Times New Roman" w:eastAsia="仿宋_GB2312" w:cs="Times New Roman"/>
          <w:color w:val="auto"/>
          <w:lang w:val="en-US" w:eastAsia="zh-CN"/>
        </w:rPr>
        <w:t>，具备进出口实绩企业达</w:t>
      </w:r>
      <w:r>
        <w:rPr>
          <w:rFonts w:hint="default" w:ascii="Times New Roman" w:hAnsi="Times New Roman" w:cs="Times New Roman"/>
          <w:color w:val="auto"/>
          <w:lang w:val="en-US" w:eastAsia="zh-CN"/>
        </w:rPr>
        <w:t>1263</w:t>
      </w:r>
      <w:r>
        <w:rPr>
          <w:rFonts w:hint="default" w:ascii="Times New Roman" w:hAnsi="Times New Roman" w:eastAsia="仿宋_GB2312" w:cs="Times New Roman"/>
          <w:color w:val="auto"/>
          <w:lang w:val="en-US" w:eastAsia="zh-CN"/>
        </w:rPr>
        <w:t>家，占全市</w:t>
      </w:r>
      <w:r>
        <w:rPr>
          <w:rFonts w:hint="default" w:ascii="Times New Roman" w:hAnsi="Times New Roman" w:cs="Times New Roman"/>
          <w:color w:val="auto"/>
          <w:lang w:val="en-US" w:eastAsia="zh-CN"/>
        </w:rPr>
        <w:t>24</w:t>
      </w:r>
      <w:r>
        <w:rPr>
          <w:rFonts w:hint="default" w:ascii="Times New Roman" w:hAnsi="Times New Roman" w:eastAsia="仿宋_GB2312" w:cs="Times New Roman"/>
          <w:color w:val="auto"/>
          <w:lang w:val="en-US" w:eastAsia="zh-CN"/>
        </w:rPr>
        <w:t>%；贸易结构持续优化，生产型企业贸易占比由35%提升至</w:t>
      </w:r>
      <w:r>
        <w:rPr>
          <w:rFonts w:hint="default" w:ascii="Times New Roman" w:hAnsi="Times New Roman" w:cs="Times New Roman"/>
          <w:color w:val="auto"/>
          <w:lang w:val="en-US" w:eastAsia="zh-CN"/>
        </w:rPr>
        <w:t>57</w:t>
      </w:r>
      <w:r>
        <w:rPr>
          <w:rFonts w:hint="default" w:ascii="Times New Roman" w:hAnsi="Times New Roman" w:eastAsia="仿宋_GB2312" w:cs="Times New Roman"/>
          <w:color w:val="auto"/>
          <w:lang w:val="en-US" w:eastAsia="zh-CN"/>
        </w:rPr>
        <w:t>%，跨境电商规模占全市</w:t>
      </w:r>
      <w:r>
        <w:rPr>
          <w:rFonts w:hint="default" w:ascii="Times New Roman" w:hAnsi="Times New Roman" w:cs="Times New Roman"/>
          <w:color w:val="auto"/>
          <w:lang w:val="en-US" w:eastAsia="zh-CN"/>
        </w:rPr>
        <w:t>20.5</w:t>
      </w:r>
      <w:r>
        <w:rPr>
          <w:rFonts w:hint="default" w:ascii="Times New Roman" w:hAnsi="Times New Roman" w:eastAsia="仿宋_GB2312" w:cs="Times New Roman"/>
          <w:color w:val="auto"/>
          <w:lang w:val="en-US" w:eastAsia="zh-CN"/>
        </w:rPr>
        <w:t>%以上</w:t>
      </w:r>
      <w:r>
        <w:rPr>
          <w:rFonts w:hint="eastAsia"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全区开放型经济发展质效实现全面跃升。</w:t>
      </w:r>
    </w:p>
    <w:p w14:paraId="59CCAF1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b/>
          <w:bCs w:val="0"/>
          <w:color w:val="auto"/>
          <w:lang w:val="en-US" w:eastAsia="zh-CN"/>
        </w:rPr>
        <w:t>城乡融合绘就新图景</w:t>
      </w:r>
      <w:r>
        <w:rPr>
          <w:rFonts w:hint="default" w:ascii="Times New Roman" w:hAnsi="Times New Roman" w:eastAsia="仿宋_GB2312" w:cs="Times New Roman"/>
          <w:color w:val="auto"/>
          <w:lang w:val="en-US" w:eastAsia="zh-CN"/>
        </w:rPr>
        <w:t>。坚持全域精致理念，统筹推进城市有机更新与乡村全面振兴，五年累计完成5900亩低效用地“腾笼换鸟”，实施第一工业园改造、统一南路贯通等100多项城建重点工程，饮用水水源地达标率、近岸海水优良比例、农村道路硬化、饮水安全和市级清洁村庄覆盖率保持100%，党建引领红色物业、智慧城市管理、低效用地再开发等多项经验在省级以上推广，西苑、韩乐坊、九龙河3大片区入选省级城市更新试点片区；无花果产业园入选省级现代农业产业园，龙山湖创意农业示范区获批乡村振兴齐鲁样板示范区，全域一体、特色鲜明的精致城乡空间格局基本形成。</w:t>
      </w:r>
    </w:p>
    <w:p w14:paraId="2AFD2FD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b/>
          <w:bCs w:val="0"/>
          <w:color w:val="auto"/>
          <w:lang w:val="en-US" w:eastAsia="zh-CN"/>
        </w:rPr>
        <w:t>民生保障取得新成效。</w:t>
      </w:r>
      <w:r>
        <w:rPr>
          <w:rFonts w:hint="default" w:ascii="Times New Roman" w:hAnsi="Times New Roman" w:eastAsia="仿宋_GB2312" w:cs="Times New Roman"/>
          <w:color w:val="auto"/>
          <w:lang w:val="en-US" w:eastAsia="zh-CN"/>
        </w:rPr>
        <w:t>精准实施基础教育、医疗卫生等三年行动计划，创新打造“经心办”政务服务、“经心调”司法服务、“经智营商”营商环境等品牌，314件民生实事、200多件民生“微实事”落实落地，累计新建社区食堂7处、农村老年餐桌4处、社会工作服务站5处、名医基层工作站11处，初步形成“15分钟便民生活圈”。创新社会治理模式，优化政务服务热线“四办机制”，推进城市“智慧大脑”建设，在全市率先建成基层应急救援体系，社会治理精细化、智能化水平持续提升，社会大局保持和谐稳定。</w:t>
      </w:r>
    </w:p>
    <w:p w14:paraId="39CCBC16">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 w:name="_Toc13502"/>
      <w:r>
        <w:rPr>
          <w:rFonts w:hint="default" w:ascii="Times New Roman" w:hAnsi="Times New Roman" w:cs="Times New Roman"/>
          <w:color w:val="auto"/>
          <w:lang w:val="en-US" w:eastAsia="zh-CN"/>
        </w:rPr>
        <w:t>第二节 科学研判“十五五”机遇挑战</w:t>
      </w:r>
      <w:bookmarkEnd w:id="3"/>
    </w:p>
    <w:p w14:paraId="5902867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十五五”时期是基本实现社会主义现代化夯实基础、全面发力的关键五年。对于经开区而言，将是蓄势而进、大有可为的关键五年，也是闯关夺隘、砥砺奋进的攻坚五年，战略机遇大于风险挑战。从国际国内看，世界百年未有之大变局加速演进，新一轮科技革命和产业变革深入突破，全球产业链供应链重构持续深化，地缘政治博弈加剧、贸易保护主义抬头、技术壁垒不断强化，叠加全球通胀、能源资源安全等多重风险交织，国际经贸秩序遭遇严峻挑战，外部环境的不确定性、不稳定性显著上升。与此同时，我国经济基础稳固、优势突出、韧性强劲、潜能巨大，长期向好的发展态势没有改变，中国特色社会主义制度优势、超大规模市场优势、完整产业体系优势、丰富人才资源优势日益彰显，国家重大战略纵深推进和宏观政策精准实施，为地方经济发展创造了稳定的发展环境和</w:t>
      </w:r>
      <w:r>
        <w:rPr>
          <w:rFonts w:hint="default" w:ascii="Times New Roman" w:hAnsi="Times New Roman" w:cs="Times New Roman"/>
          <w:color w:val="auto"/>
          <w:lang w:val="en-US" w:eastAsia="zh-CN"/>
        </w:rPr>
        <w:t>有力</w:t>
      </w:r>
      <w:r>
        <w:rPr>
          <w:rFonts w:hint="default" w:ascii="Times New Roman" w:hAnsi="Times New Roman" w:eastAsia="仿宋_GB2312" w:cs="Times New Roman"/>
          <w:color w:val="auto"/>
          <w:lang w:val="en-US" w:eastAsia="zh-CN"/>
        </w:rPr>
        <w:t>的政策支撑。</w:t>
      </w:r>
    </w:p>
    <w:p w14:paraId="4F92EAF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从威海市级发展层面来看，“十五五”时期是威海基本建成新时代社会主义现代化强市的关键承启阶段，肩负着打造“全域精致城市样板”的重大使命。作为“海洋强国”战略实施的关键支点，威海“向海图强”战略进入攻坚突破期，依托“一带三区四岛群”海洋空间格局和“四港联动”枢纽优势，深化陆海统筹发展，加快推进海洋产业优化布局、海洋生态系统保护、海洋空间高效开发，全力建设创新型国际化海洋强市，这为经开区抢抓战略机遇、融入全市发展大局、推动高质量发展提供了坚实支撑。</w:t>
      </w:r>
    </w:p>
    <w:p w14:paraId="23DBA70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从经开区自身发展来看，作为威海市经济发展的主阵地、主战场，以及中韩自贸区地方经济合作示范区，经开区被赋予核心战略使命，具备扎实的发展基础，4个百亿级产业集群初具规模，土地、港口等资源储备充足，19公里优质海岸线为海上风电、临港物流等产业发展提供了得天独厚的条件，“精致经区”建设统筹推进，干部队伍干事创业氛围浓厚，发展内生动力持续增强。同时也要认识到，我区发展也面临诸多突出短板，经济总量、产业投资对全市的贡献度与“改革开放排头兵”定位仍有差距，核心技术攻关能力不足，新质生产力培育力度不够；高端人才、优质项目集聚能力不足，与产业高质量发展需求不相适应；国际开放合作环境、公共服务供给水平仍需优化，政务服务精细化、国际化水平有待提升。</w:t>
      </w:r>
    </w:p>
    <w:p w14:paraId="4090CDC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面对新形势新任务，全区上下必须提高政治站位，深刻领悟“两个确立”的决定性意义，增强“四个意识”、坚定“四个自信”、做到“两个维护”，主动把经开区发展放到全国、全省、全市大局中谋划推进，坚持以习近平新时代中国特色社会主义思想为指导，完整准确全面贯彻新发展理念，牢牢把握高质量发展首要任务，聚焦培育新质生产力，坚定扛起“改革开放排头兵”使命担当，在识变应变求变中巩固优势、破解难题，奋力开创经开区现代化建设新局面，为威海基本建成新时代社会主义现代化强市贡献经开力量。</w:t>
      </w:r>
    </w:p>
    <w:p w14:paraId="31053445">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 w:name="_Toc6970"/>
      <w:r>
        <w:rPr>
          <w:rFonts w:hint="default" w:ascii="Times New Roman" w:hAnsi="Times New Roman" w:cs="Times New Roman"/>
          <w:color w:val="auto"/>
          <w:lang w:val="en-US" w:eastAsia="zh-CN"/>
        </w:rPr>
        <w:t>第三节 谋篇布局明确发展思路与目标</w:t>
      </w:r>
      <w:bookmarkEnd w:id="4"/>
    </w:p>
    <w:p w14:paraId="606C1969">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一、指导思想</w:t>
      </w:r>
    </w:p>
    <w:p w14:paraId="268A112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坚持马克思列宁主义、毛泽东思想、邓小平理论、“三个代表”重要思想、科学发展观，全面贯彻习近平新时代中国特色社会主义思想，深入贯彻</w:t>
      </w:r>
      <w:r>
        <w:rPr>
          <w:rFonts w:hint="default" w:ascii="Times New Roman" w:hAnsi="Times New Roman" w:cs="Times New Roman"/>
          <w:color w:val="auto"/>
          <w:lang w:val="en-US" w:eastAsia="zh-CN"/>
        </w:rPr>
        <w:t>党的二十大和二十届历次全会精神</w:t>
      </w:r>
      <w:r>
        <w:rPr>
          <w:rFonts w:hint="default" w:ascii="Times New Roman" w:hAnsi="Times New Roman" w:eastAsia="仿宋_GB2312" w:cs="Times New Roman"/>
          <w:color w:val="auto"/>
          <w:lang w:val="en-US" w:eastAsia="zh-CN"/>
        </w:rPr>
        <w:t>，认真落实习近平总书记视察山东重要讲话精神和对山东工作的重要指示批示要求，锚定中国式现代化建设全局，完整准确全面贯彻新发展理念，主动服务和融入新发展格局，坚持稳中求进工作总基调，以推动高质量发展为主题，以改革创新为根本动力，以满足人民日益增长的美好生活需要为根本目的，以全面从严治党为根本保障，持续实施“1369”高质量发展行动计划，聚焦培育新质生产力，以港产城融合为方向，以绿色发展为引领，以富民强区为己任，坚持“开放之区·活力新城”定位不动摇，接续推进“中部崛起、西部提升、东部突破”战略布局，做精一产、做强二产、做优三产，争当新时代社会主义现代化强市建设排头兵，为全省全市发展大局作出更大贡献。</w:t>
      </w:r>
    </w:p>
    <w:p w14:paraId="170A41B8">
      <w:pPr>
        <w:pStyle w:val="2"/>
        <w:numPr>
          <w:ilvl w:val="0"/>
          <w:numId w:val="2"/>
        </w:numPr>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发展原则</w:t>
      </w:r>
    </w:p>
    <w:p w14:paraId="6E02708C">
      <w:pPr>
        <w:pStyle w:val="6"/>
        <w:kinsoku/>
        <w:bidi w:val="0"/>
        <w:spacing w:before="0" w:beforeLines="0" w:afterLines="0" w:line="560" w:lineRule="exact"/>
        <w:rPr>
          <w:rFonts w:hint="default" w:ascii="Times New Roman" w:hAnsi="Times New Roman" w:cs="Times New Roman"/>
          <w:color w:val="auto"/>
          <w:lang w:val="en-US" w:eastAsia="zh-CN"/>
        </w:rPr>
      </w:pPr>
      <w:r>
        <w:rPr>
          <w:rFonts w:hint="default" w:ascii="Times New Roman" w:hAnsi="Times New Roman" w:cs="Times New Roman"/>
          <w:b/>
          <w:bCs w:val="0"/>
          <w:color w:val="auto"/>
          <w:lang w:val="en-US" w:eastAsia="zh-CN"/>
        </w:rPr>
        <w:t>坚持党的全面领导。</w:t>
      </w:r>
      <w:r>
        <w:rPr>
          <w:rFonts w:hint="default" w:ascii="Times New Roman" w:hAnsi="Times New Roman" w:cs="Times New Roman"/>
          <w:color w:val="auto"/>
          <w:lang w:val="en-US" w:eastAsia="zh-CN"/>
        </w:rPr>
        <w:t>始终把党的全面领导贯穿“十五五”发展全过程、各领域，强化党组织在产业链、创新链、人才链中的政治引领与组织保障功能，牢牢锚定国家战略导向和省市发展布局，自觉扛起国家级经开区使命担当，确保全区产业经济发展始终沿着正确方向行稳致远。</w:t>
      </w:r>
    </w:p>
    <w:p w14:paraId="3CD7158E">
      <w:pPr>
        <w:pStyle w:val="6"/>
        <w:kinsoku/>
        <w:bidi w:val="0"/>
        <w:spacing w:before="0" w:beforeLines="0" w:afterLines="0" w:line="560" w:lineRule="exact"/>
        <w:jc w:val="both"/>
        <w:rPr>
          <w:rFonts w:hint="default" w:ascii="Times New Roman" w:hAnsi="Times New Roman" w:cs="Times New Roman"/>
          <w:color w:val="auto"/>
          <w:lang w:val="en-US" w:eastAsia="zh-CN"/>
        </w:rPr>
      </w:pPr>
      <w:r>
        <w:rPr>
          <w:rFonts w:hint="default" w:ascii="Times New Roman" w:hAnsi="Times New Roman" w:cs="Times New Roman"/>
          <w:b/>
          <w:bCs w:val="0"/>
          <w:color w:val="auto"/>
          <w:lang w:val="en-US" w:eastAsia="zh-CN"/>
        </w:rPr>
        <w:t>坚持人民至上。</w:t>
      </w:r>
      <w:r>
        <w:rPr>
          <w:rFonts w:hint="default" w:ascii="Times New Roman" w:hAnsi="Times New Roman" w:cs="Times New Roman"/>
          <w:color w:val="auto"/>
          <w:lang w:val="en-US" w:eastAsia="zh-CN"/>
        </w:rPr>
        <w:t>以满足人民美好生活向往为根本出发点和落脚点，完善公共服务配套、健全人才安居保障体系，推动产业布局、城市功能、人口结构、人才集聚深度耦合。构建以产兴城、以城聚人、以人强产、以城惠民良性发展闭环，以精致城市建设赋能产业升级，让高质量发展成果全民共享。</w:t>
      </w:r>
    </w:p>
    <w:p w14:paraId="202C27AD">
      <w:pPr>
        <w:pStyle w:val="7"/>
        <w:keepNext w:val="0"/>
        <w:keepLines w:val="0"/>
        <w:pageBreakBefore w:val="0"/>
        <w:widowControl/>
        <w:kinsoku/>
        <w:wordWrap/>
        <w:overflowPunct/>
        <w:topLinePunct w:val="0"/>
        <w:autoSpaceDE w:val="0"/>
        <w:autoSpaceDN w:val="0"/>
        <w:bidi w:val="0"/>
        <w:adjustRightInd w:val="0"/>
        <w:snapToGrid w:val="0"/>
        <w:spacing w:before="0" w:beforeLines="0" w:afterLines="0" w:line="560" w:lineRule="exact"/>
        <w:ind w:left="0" w:leftChars="0" w:firstLine="643" w:firstLineChars="200"/>
        <w:jc w:val="both"/>
        <w:textAlignment w:val="baseline"/>
        <w:rPr>
          <w:rFonts w:hint="default" w:ascii="Times New Roman" w:hAnsi="Times New Roman" w:eastAsia="仿宋_GB2312" w:cs="Times New Roman"/>
          <w:bCs/>
          <w:snapToGrid w:val="0"/>
          <w:color w:val="auto"/>
          <w:kern w:val="0"/>
          <w:sz w:val="32"/>
          <w:szCs w:val="44"/>
          <w:lang w:val="en-US" w:eastAsia="zh-CN" w:bidi="ar-SA"/>
        </w:rPr>
      </w:pPr>
      <w:r>
        <w:rPr>
          <w:rFonts w:hint="default" w:ascii="Times New Roman" w:hAnsi="Times New Roman" w:eastAsia="仿宋_GB2312" w:cs="Times New Roman"/>
          <w:b/>
          <w:bCs w:val="0"/>
          <w:snapToGrid w:val="0"/>
          <w:color w:val="auto"/>
          <w:kern w:val="0"/>
          <w:sz w:val="32"/>
          <w:szCs w:val="44"/>
          <w:lang w:val="en-US" w:eastAsia="zh-CN" w:bidi="ar-SA"/>
        </w:rPr>
        <w:t>坚持高质量发展。</w:t>
      </w:r>
      <w:r>
        <w:rPr>
          <w:rFonts w:hint="default" w:ascii="Times New Roman" w:hAnsi="Times New Roman" w:eastAsia="仿宋_GB2312" w:cs="Times New Roman"/>
          <w:bCs/>
          <w:snapToGrid w:val="0"/>
          <w:color w:val="auto"/>
          <w:kern w:val="0"/>
          <w:sz w:val="32"/>
          <w:szCs w:val="44"/>
          <w:lang w:val="en-US" w:eastAsia="zh-CN" w:bidi="ar-SA"/>
        </w:rPr>
        <w:t>把高质量发展作为首要任务，立足国家级经开区定位，聚焦产业提质、效益提升、动能转换，推动产业向高端化、智能化、绿色化转型。统筹量的合理增长和质的有效提升，优化产业结构、完善产业生态，推动经济发展方式从规模速度型向质量效益型转变，实现更高质量、更有效率、更加公平、更可持续、更为安全的发展。</w:t>
      </w:r>
    </w:p>
    <w:p w14:paraId="36EEB1A4">
      <w:pPr>
        <w:pStyle w:val="7"/>
        <w:keepNext w:val="0"/>
        <w:keepLines w:val="0"/>
        <w:pageBreakBefore w:val="0"/>
        <w:widowControl/>
        <w:kinsoku/>
        <w:wordWrap/>
        <w:overflowPunct/>
        <w:topLinePunct w:val="0"/>
        <w:autoSpaceDE w:val="0"/>
        <w:autoSpaceDN w:val="0"/>
        <w:bidi w:val="0"/>
        <w:adjustRightInd w:val="0"/>
        <w:snapToGrid w:val="0"/>
        <w:spacing w:before="0" w:beforeLines="0" w:afterLines="0" w:line="560" w:lineRule="exact"/>
        <w:ind w:left="0" w:leftChars="0" w:firstLine="643" w:firstLineChars="200"/>
        <w:jc w:val="both"/>
        <w:textAlignment w:val="baseline"/>
        <w:rPr>
          <w:rFonts w:hint="default" w:ascii="Times New Roman" w:hAnsi="Times New Roman" w:eastAsia="仿宋_GB2312" w:cs="Times New Roman"/>
          <w:bCs/>
          <w:snapToGrid w:val="0"/>
          <w:color w:val="auto"/>
          <w:kern w:val="0"/>
          <w:sz w:val="32"/>
          <w:szCs w:val="44"/>
          <w:lang w:val="en-US" w:eastAsia="zh-CN" w:bidi="ar-SA"/>
        </w:rPr>
      </w:pPr>
      <w:r>
        <w:rPr>
          <w:rFonts w:hint="default" w:ascii="Times New Roman" w:hAnsi="Times New Roman" w:eastAsia="仿宋_GB2312" w:cs="Times New Roman"/>
          <w:b/>
          <w:bCs w:val="0"/>
          <w:snapToGrid w:val="0"/>
          <w:color w:val="auto"/>
          <w:kern w:val="0"/>
          <w:sz w:val="32"/>
          <w:szCs w:val="44"/>
          <w:lang w:val="en-US" w:eastAsia="zh-CN" w:bidi="ar-SA"/>
        </w:rPr>
        <w:t>坚持创新驱动。</w:t>
      </w:r>
      <w:r>
        <w:rPr>
          <w:rFonts w:hint="default" w:ascii="Times New Roman" w:hAnsi="Times New Roman" w:eastAsia="仿宋_GB2312" w:cs="Times New Roman"/>
          <w:bCs/>
          <w:snapToGrid w:val="0"/>
          <w:color w:val="auto"/>
          <w:kern w:val="0"/>
          <w:sz w:val="32"/>
          <w:szCs w:val="44"/>
          <w:lang w:val="en-US" w:eastAsia="zh-CN" w:bidi="ar-SA"/>
        </w:rPr>
        <w:t>突出企业创新主体地位，推动创新链、产业链、资金链、人才链四链深度融合，攻坚关键核心技术与高端制造工艺，构筑先进装备制造产业优势，前瞻布局未来产业赛道，聚力打造山东半岛新质生产力重要策源地、集聚承载高地。</w:t>
      </w:r>
    </w:p>
    <w:p w14:paraId="4B971B2C">
      <w:pPr>
        <w:pStyle w:val="6"/>
        <w:kinsoku/>
        <w:bidi w:val="0"/>
        <w:spacing w:before="0" w:beforeLines="0" w:afterLines="0" w:line="560" w:lineRule="exact"/>
        <w:jc w:val="both"/>
        <w:rPr>
          <w:rFonts w:hint="default" w:ascii="Times New Roman" w:hAnsi="Times New Roman" w:cs="Times New Roman"/>
          <w:color w:val="auto"/>
          <w:lang w:val="en-US" w:eastAsia="zh-CN"/>
        </w:rPr>
      </w:pPr>
      <w:r>
        <w:rPr>
          <w:rFonts w:hint="default" w:ascii="Times New Roman" w:hAnsi="Times New Roman" w:cs="Times New Roman"/>
          <w:b/>
          <w:bCs w:val="0"/>
          <w:color w:val="auto"/>
          <w:lang w:val="en-US" w:eastAsia="zh-CN"/>
        </w:rPr>
        <w:t>坚持全面深化改革</w:t>
      </w:r>
      <w:r>
        <w:rPr>
          <w:rFonts w:hint="default" w:ascii="Times New Roman" w:hAnsi="Times New Roman" w:cs="Times New Roman"/>
          <w:color w:val="auto"/>
          <w:lang w:val="en-US" w:eastAsia="zh-CN"/>
        </w:rPr>
        <w:t>。聚焦破除产业升级体制机制壁垒，纵深推进要素市场化配置、科技成果转化、园区运营管理等重点领域改革，持续塑造市场化、法治化、国际化一流营商环境。对标国际高标准经贸规则，深化跨境产能协作、技术合作与市场联通，构建内外双向循环、开放赋能产业发展的全新格局。</w:t>
      </w:r>
    </w:p>
    <w:p w14:paraId="3AD2D384">
      <w:pPr>
        <w:pStyle w:val="6"/>
        <w:kinsoku/>
        <w:bidi w:val="0"/>
        <w:spacing w:before="0" w:beforeLines="0" w:afterLines="0" w:line="560" w:lineRule="exact"/>
        <w:jc w:val="both"/>
        <w:rPr>
          <w:rFonts w:hint="default" w:ascii="Times New Roman" w:hAnsi="Times New Roman" w:cs="Times New Roman"/>
          <w:color w:val="auto"/>
          <w:lang w:val="en-US" w:eastAsia="zh-CN"/>
        </w:rPr>
      </w:pPr>
      <w:r>
        <w:rPr>
          <w:rFonts w:hint="default" w:ascii="Times New Roman" w:hAnsi="Times New Roman" w:cs="Times New Roman"/>
          <w:b/>
          <w:bCs w:val="0"/>
          <w:color w:val="auto"/>
          <w:lang w:val="en-US" w:eastAsia="zh-CN"/>
        </w:rPr>
        <w:t>坚持有效市场和有为政府相结合</w:t>
      </w:r>
      <w:r>
        <w:rPr>
          <w:rFonts w:hint="default" w:ascii="Times New Roman" w:hAnsi="Times New Roman" w:cs="Times New Roman"/>
          <w:color w:val="auto"/>
          <w:lang w:val="en-US" w:eastAsia="zh-CN"/>
        </w:rPr>
        <w:t>。遵循政府搭台、市场唱戏、企业主体、集群共进发展逻辑，充分发挥市场资源配置决定性作用，精准强化政府在战略规划、政策引导、平台搭建、标准引领、要素保障中的赋能作用。构建要素自由流动、主体高效协同、创新活力充分迸发的现代产业治理体系。</w:t>
      </w:r>
    </w:p>
    <w:p w14:paraId="63A435A1">
      <w:pPr>
        <w:pStyle w:val="6"/>
        <w:kinsoku/>
        <w:bidi w:val="0"/>
        <w:spacing w:before="0" w:beforeLines="0" w:afterLines="0" w:line="560" w:lineRule="exact"/>
        <w:jc w:val="both"/>
        <w:rPr>
          <w:rFonts w:hint="default" w:ascii="Times New Roman" w:hAnsi="Times New Roman" w:cs="Times New Roman"/>
          <w:color w:val="auto"/>
          <w:lang w:val="en-US" w:eastAsia="zh-CN"/>
        </w:rPr>
      </w:pPr>
      <w:r>
        <w:rPr>
          <w:rFonts w:hint="default" w:ascii="Times New Roman" w:hAnsi="Times New Roman" w:cs="Times New Roman"/>
          <w:b/>
          <w:bCs w:val="0"/>
          <w:color w:val="auto"/>
          <w:lang w:val="en-US" w:eastAsia="zh-CN"/>
        </w:rPr>
        <w:t>坚持统筹发展和安全。</w:t>
      </w:r>
      <w:r>
        <w:rPr>
          <w:rFonts w:hint="default" w:ascii="Times New Roman" w:hAnsi="Times New Roman" w:cs="Times New Roman"/>
          <w:color w:val="auto"/>
          <w:lang w:val="en-US" w:eastAsia="zh-CN"/>
        </w:rPr>
        <w:t>牢固树立总体国家安全观，统筹产业安全、科技安全、海洋生态安全与经济运行韧性建设。筑牢产业链供应链自主可控支撑体系，完善备份配套能力，提升区域抗风险抗冲击水平。纵深推进绿色低碳转型、海洋生态保护，大力发展绿色制造与循环经济。健全风险监测预警、研判与应急处置机制，实现发展质量、结构、规模、速度、效益、安全有机统一。</w:t>
      </w:r>
    </w:p>
    <w:p w14:paraId="23E945B1">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三、发展目标</w:t>
      </w:r>
    </w:p>
    <w:p w14:paraId="0BB0C4B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bookmarkStart w:id="5" w:name="_Toc27055"/>
      <w:r>
        <w:rPr>
          <w:rFonts w:hint="default" w:ascii="Times New Roman" w:hAnsi="Times New Roman" w:eastAsia="仿宋_GB2312" w:cs="Times New Roman"/>
          <w:color w:val="auto"/>
          <w:lang w:val="en-US" w:eastAsia="zh-CN"/>
        </w:rPr>
        <w:t>到2030年，</w:t>
      </w:r>
      <w:r>
        <w:rPr>
          <w:rFonts w:hint="default" w:ascii="Times New Roman" w:hAnsi="Times New Roman" w:cs="Times New Roman"/>
          <w:color w:val="auto"/>
          <w:lang w:val="en-US" w:eastAsia="zh-CN"/>
        </w:rPr>
        <w:t>全力建成</w:t>
      </w:r>
      <w:r>
        <w:rPr>
          <w:rFonts w:hint="default" w:ascii="Times New Roman" w:hAnsi="Times New Roman" w:eastAsia="仿宋_GB2312" w:cs="Times New Roman"/>
          <w:color w:val="auto"/>
          <w:lang w:val="en-US" w:eastAsia="zh-CN"/>
        </w:rPr>
        <w:t>港产城融合发展示范区、创新型经济集聚发展区、中韩自贸区地方经济合作核心区、精致城市建设引领区</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公共服务优质均衡样板区、市域社会治理现代化先行区，全面构筑能级更高、动能更强、品质更优、治理更精、开放更广、民生更实的现代化经开区发展新格局。</w:t>
      </w:r>
    </w:p>
    <w:p w14:paraId="34FAA8A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经济发展质量明显跃升。经济运行韧性显著增强，内需主导的增长模式持续巩固，绿色低碳高质量发展路径全面贯通。全区生产总值突破600亿元，规上工业总产值突破650亿元，打造4个具有竞争力的先进制造业集群，全员劳动生产率增速保持在5.5%以上。</w:t>
      </w:r>
    </w:p>
    <w:p w14:paraId="2EB94FB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科技创新效能持续释放。高能级创新平台体系加快构建，企业创新主体地位全面强化，重点产业“卡脖子”技术攻关取得关键突破。创新资源市场化配置机制不断完善，科技创新与产业升级实现双向赋能。全区R&amp;D经费支出占比达到2.8%以上，新增省级以上创新平台15个，高新技术企业、科技型中小企业冲刺1050家，高新技术产业产值占规模以上工业总产值比重稳定保持在75%以上，每万人口高价值发明专利拥有量达22.39件，建成区域性创新成果转化基地。</w:t>
      </w:r>
    </w:p>
    <w:p w14:paraId="2CDA250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en-US"/>
        </w:rPr>
      </w:pPr>
      <w:r>
        <w:rPr>
          <w:rFonts w:hint="default" w:ascii="Times New Roman" w:hAnsi="Times New Roman" w:eastAsia="仿宋_GB2312" w:cs="Times New Roman"/>
          <w:color w:val="auto"/>
          <w:lang w:val="en-US" w:eastAsia="zh-CN"/>
        </w:rPr>
        <w:t>───精致城市品质全面升级。</w:t>
      </w:r>
      <w:r>
        <w:rPr>
          <w:rFonts w:hint="default" w:ascii="Times New Roman" w:hAnsi="Times New Roman" w:eastAsia="仿宋_GB2312" w:cs="Times New Roman"/>
          <w:color w:val="auto"/>
          <w:lang w:val="en-US" w:eastAsia="en-US"/>
        </w:rPr>
        <w:t>“陆海统筹、城乡一体、三生共融”的国土空间开发保护格局基本形成，全域精致产城融合示范区建设取得标志性成果，智慧城市“一网统管”体系全面建成并高效运行。城市运行管理服务平台覆盖率达100%，城市空间布局均衡度显著提升，高铁、高速、空港多式联运衔接效率提升30%以上</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lang w:val="en-US" w:eastAsia="en-US"/>
        </w:rPr>
        <w:t>可再生能源利用占比达到25%以上，绿色生产生活方式成为社会共识，如期实现碳达峰目标，能源结构绿色转型成效显著。</w:t>
      </w:r>
    </w:p>
    <w:p w14:paraId="1A6D09C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改革开放水平全面提升。重点领域和关键环节改革取得新突破，市场经济、民主法治等体制机制更加完善，对外合作交流的广度和深度进一步拓展，国际物流中转枢纽作用更加凸显，对韩跨境电商零售进出口规模稳居全国前列，全区外贸进出口总额达到500亿元，中韩自贸区地方经济合作示范区产业园产值突破200亿元，高技术产业利用外资占比</w:t>
      </w:r>
      <w:r>
        <w:rPr>
          <w:rFonts w:hint="eastAsia" w:ascii="Times New Roman" w:hAnsi="Times New Roman" w:cs="Times New Roman"/>
          <w:color w:val="auto"/>
          <w:lang w:val="en-US" w:eastAsia="zh-CN"/>
        </w:rPr>
        <w:t>3</w:t>
      </w:r>
      <w:r>
        <w:rPr>
          <w:rFonts w:hint="default" w:ascii="Times New Roman" w:hAnsi="Times New Roman" w:eastAsia="仿宋_GB2312" w:cs="Times New Roman"/>
          <w:color w:val="auto"/>
          <w:lang w:val="en-US" w:eastAsia="zh-CN"/>
        </w:rPr>
        <w:t>0%以上。</w:t>
      </w:r>
    </w:p>
    <w:p w14:paraId="68BBD0B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社会文明程度迈上新台阶。文明城市建设进入更高水平，美德经开区、信用经开区建设成效显著，全民文化创新活力充分激发，文化自信持续增强，主流思想舆论阵地不断巩固，文化事业与文化产业繁荣发展。</w:t>
      </w:r>
      <w:r>
        <w:rPr>
          <w:rFonts w:hint="default" w:ascii="Times New Roman" w:hAnsi="Times New Roman" w:cs="Times New Roman"/>
          <w:color w:val="auto"/>
          <w:lang w:val="en-US" w:eastAsia="zh-CN"/>
        </w:rPr>
        <w:t>践行社会主义核心价值观</w:t>
      </w:r>
      <w:r>
        <w:rPr>
          <w:rFonts w:hint="default" w:ascii="Times New Roman" w:hAnsi="Times New Roman" w:eastAsia="仿宋_GB2312" w:cs="Times New Roman"/>
          <w:color w:val="auto"/>
          <w:lang w:val="en-US" w:eastAsia="zh-CN"/>
        </w:rPr>
        <w:t>率达95%以上，居民综合素质测评达标率超90%；公共文化设施覆盖率100%；推进文旅融合发展，构建多元业态体系，成为四季皆宜的全域旅游目的地。</w:t>
      </w:r>
    </w:p>
    <w:p w14:paraId="1AD53C4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民生福祉达到新高度。就业更加充分更有质量，居民收入增长和经济增长基本同步，中等收入群体比重明显增加，城乡、区域收入差距持续缩小，基本公共服务供给更加优质均衡，覆盖全生命周期的人口服务体系更加健全。城镇调查失业率控制在合理区间；居民人均可支配收入稳步增长，健康经开区建设全面达标，社区卫生服务中心标准化率100%，公共卫生应急响应时间缩短至30分钟内；义务教育优质均衡率100%，养老保险参保率达99%，人民群众获得感、幸福感、安全感、满意度显著提升。</w:t>
      </w:r>
    </w:p>
    <w:p w14:paraId="552D0D7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en-US"/>
        </w:rPr>
      </w:pPr>
      <w:r>
        <w:rPr>
          <w:rFonts w:hint="default" w:ascii="Times New Roman" w:hAnsi="Times New Roman" w:eastAsia="仿宋_GB2312" w:cs="Times New Roman"/>
          <w:color w:val="auto"/>
          <w:lang w:val="en-US" w:eastAsia="zh-CN"/>
        </w:rPr>
        <w:t>───生态文明建设实现新突破。</w:t>
      </w:r>
      <w:r>
        <w:rPr>
          <w:rFonts w:hint="default" w:ascii="Times New Roman" w:hAnsi="Times New Roman" w:eastAsia="仿宋_GB2312" w:cs="Times New Roman"/>
          <w:color w:val="auto"/>
          <w:lang w:val="en-US" w:eastAsia="en-US"/>
        </w:rPr>
        <w:t>生态环境质量保持全省领先水平，陆海生态系统保护修复成效显著，生态安全屏障更加牢固。</w:t>
      </w:r>
      <w:r>
        <w:rPr>
          <w:rFonts w:hint="default" w:ascii="Times New Roman" w:hAnsi="Times New Roman" w:cs="Times New Roman"/>
          <w:color w:val="auto"/>
          <w:lang w:val="en-US" w:eastAsia="zh-CN"/>
        </w:rPr>
        <w:t>近岸海域优良水质比例</w:t>
      </w:r>
      <w:r>
        <w:rPr>
          <w:rFonts w:hint="default" w:ascii="Times New Roman" w:hAnsi="Times New Roman" w:eastAsia="仿宋_GB2312" w:cs="Times New Roman"/>
          <w:color w:val="auto"/>
          <w:lang w:val="en-US" w:eastAsia="en-US"/>
        </w:rPr>
        <w:t>稳定在98%以上，PM2.5浓度控制在25微克/立方米以下；单位增加值能耗较2025年下降</w:t>
      </w:r>
      <w:r>
        <w:rPr>
          <w:rFonts w:hint="default" w:ascii="Times New Roman" w:hAnsi="Times New Roman" w:eastAsia="仿宋_GB2312" w:cs="Times New Roman"/>
          <w:color w:val="auto"/>
          <w:lang w:val="en-US" w:eastAsia="zh-CN"/>
        </w:rPr>
        <w:t>15</w:t>
      </w:r>
      <w:r>
        <w:rPr>
          <w:rFonts w:hint="default" w:ascii="Times New Roman" w:hAnsi="Times New Roman" w:eastAsia="仿宋_GB2312" w:cs="Times New Roman"/>
          <w:color w:val="auto"/>
          <w:lang w:val="en-US" w:eastAsia="en-US"/>
        </w:rPr>
        <w:t>%；“无废城市”建设实现全域达标，垃圾分类居民参与率超90%，成功创建省级生态文明建设示范区，为创建国家级示范区奠定基础。</w:t>
      </w:r>
    </w:p>
    <w:p w14:paraId="1C9139A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───安全发展能力明显提升。社会建设和社会治理能力持续加强，公平正义充分彰显，统筹发展和安全的体制机制更加完善，重点领域风险得到有效防范化解，建成更高水平平安经开区、法治经开区。</w:t>
      </w:r>
    </w:p>
    <w:p w14:paraId="2113DB0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在此基础上再奋斗五年，到2035年，全面建成区域经济高质量发展标杆、中韩深度融合示范窗口、滨海精致产城样板，实现经济实力、开放能级、城市品质、文明程度、生态质量、民生福祉六大维度跨越式提升，成为全国经开区高质量发展典范。</w:t>
      </w:r>
    </w:p>
    <w:p w14:paraId="7BA2AC5E">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0" w:firstLineChars="0"/>
        <w:jc w:val="center"/>
        <w:textAlignment w:val="baseline"/>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表一 经开区“十五五”时期经济社会发展主要指标</w:t>
      </w:r>
    </w:p>
    <w:bookmarkEnd w:id="5"/>
    <w:tbl>
      <w:tblPr>
        <w:tblStyle w:val="15"/>
        <w:tblpPr w:leftFromText="180" w:rightFromText="180" w:vertAnchor="text" w:horzAnchor="page" w:tblpX="1929" w:tblpY="224"/>
        <w:tblOverlap w:val="never"/>
        <w:tblW w:w="831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0"/>
        <w:gridCol w:w="3630"/>
        <w:gridCol w:w="1039"/>
        <w:gridCol w:w="1086"/>
        <w:gridCol w:w="1057"/>
        <w:gridCol w:w="971"/>
      </w:tblGrid>
      <w:tr w14:paraId="7C7D6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 w:hRule="atLeast"/>
        </w:trPr>
        <w:tc>
          <w:tcPr>
            <w:tcW w:w="831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287F2">
            <w:pPr>
              <w:keepNext w:val="0"/>
              <w:keepLines w:val="0"/>
              <w:widowControl/>
              <w:suppressLineNumbers w:val="0"/>
              <w:kinsoku/>
              <w:spacing w:beforeLines="0" w:afterLines="0" w:line="400" w:lineRule="exact"/>
              <w:jc w:val="center"/>
              <w:textAlignment w:val="center"/>
              <w:rPr>
                <w:rFonts w:ascii="Times New Roman" w:hAnsi="Times New Roman" w:eastAsia="仿宋_GB2312" w:cs="Times New Roman"/>
                <w:b/>
                <w:bCs/>
                <w:i w:val="0"/>
                <w:iCs w:val="0"/>
                <w:color w:val="auto"/>
                <w:sz w:val="21"/>
                <w:szCs w:val="21"/>
                <w:u w:val="none"/>
              </w:rPr>
            </w:pPr>
            <w:r>
              <w:rPr>
                <w:rFonts w:hint="default" w:ascii="Times New Roman" w:hAnsi="Times New Roman" w:eastAsia="仿宋_GB2312" w:cs="Times New Roman"/>
                <w:b/>
                <w:bCs/>
                <w:i w:val="0"/>
                <w:iCs w:val="0"/>
                <w:snapToGrid w:val="0"/>
                <w:color w:val="auto"/>
                <w:kern w:val="0"/>
                <w:sz w:val="21"/>
                <w:szCs w:val="21"/>
                <w:u w:val="none"/>
                <w:lang w:val="en-US" w:eastAsia="zh-CN" w:bidi="ar"/>
              </w:rPr>
              <w:t>经开区“十五五”时期经济社会发展主要指标</w:t>
            </w:r>
          </w:p>
        </w:tc>
      </w:tr>
      <w:tr w14:paraId="5AFFE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DFEFA">
            <w:pPr>
              <w:keepNext w:val="0"/>
              <w:keepLines w:val="0"/>
              <w:widowControl/>
              <w:suppressLineNumbers w:val="0"/>
              <w:kinsoku/>
              <w:spacing w:beforeLines="0" w:afterLines="0" w:line="320" w:lineRule="exact"/>
              <w:jc w:val="center"/>
              <w:textAlignment w:val="center"/>
              <w:rPr>
                <w:rFonts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类别</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B40A">
            <w:pPr>
              <w:keepNext w:val="0"/>
              <w:keepLines w:val="0"/>
              <w:widowControl/>
              <w:suppressLineNumbers w:val="0"/>
              <w:kinsoku/>
              <w:spacing w:beforeLines="0" w:afterLines="0" w:line="320" w:lineRule="exact"/>
              <w:jc w:val="left"/>
              <w:textAlignment w:val="center"/>
              <w:rPr>
                <w:rFonts w:hint="default"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指标（单位）</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E605A">
            <w:pPr>
              <w:keepNext w:val="0"/>
              <w:keepLines w:val="0"/>
              <w:widowControl/>
              <w:suppressLineNumbers w:val="0"/>
              <w:kinsoku/>
              <w:spacing w:beforeLines="0" w:afterLines="0" w:line="320" w:lineRule="exact"/>
              <w:jc w:val="center"/>
              <w:textAlignment w:val="center"/>
              <w:rPr>
                <w:rFonts w:hint="default"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2025年</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35B94">
            <w:pPr>
              <w:keepNext w:val="0"/>
              <w:keepLines w:val="0"/>
              <w:widowControl/>
              <w:suppressLineNumbers w:val="0"/>
              <w:kinsoku/>
              <w:spacing w:beforeLines="0" w:afterLines="0" w:line="320" w:lineRule="exact"/>
              <w:jc w:val="center"/>
              <w:textAlignment w:val="center"/>
              <w:rPr>
                <w:rFonts w:hint="default"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2030年</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36A2A">
            <w:pPr>
              <w:keepNext w:val="0"/>
              <w:keepLines w:val="0"/>
              <w:widowControl/>
              <w:suppressLineNumbers w:val="0"/>
              <w:kinsoku/>
              <w:spacing w:beforeLines="0" w:afterLines="0" w:line="320" w:lineRule="exact"/>
              <w:jc w:val="center"/>
              <w:textAlignment w:val="center"/>
              <w:rPr>
                <w:rFonts w:hint="default"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年均增速/[累计]</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2C06F">
            <w:pPr>
              <w:keepNext w:val="0"/>
              <w:keepLines w:val="0"/>
              <w:widowControl/>
              <w:suppressLineNumbers w:val="0"/>
              <w:kinsoku/>
              <w:spacing w:beforeLines="0" w:afterLines="0" w:line="320" w:lineRule="exact"/>
              <w:jc w:val="center"/>
              <w:textAlignment w:val="center"/>
              <w:rPr>
                <w:rFonts w:hint="default" w:ascii="Times New Roman" w:hAnsi="Times New Roman" w:eastAsia="黑体" w:cs="Times New Roman"/>
                <w:i w:val="0"/>
                <w:iCs w:val="0"/>
                <w:color w:val="auto"/>
                <w:sz w:val="21"/>
                <w:szCs w:val="21"/>
                <w:u w:val="none"/>
              </w:rPr>
            </w:pPr>
            <w:r>
              <w:rPr>
                <w:rFonts w:hint="default" w:ascii="Times New Roman" w:hAnsi="Times New Roman" w:eastAsia="黑体" w:cs="Times New Roman"/>
                <w:i w:val="0"/>
                <w:iCs w:val="0"/>
                <w:snapToGrid w:val="0"/>
                <w:color w:val="auto"/>
                <w:kern w:val="0"/>
                <w:sz w:val="21"/>
                <w:szCs w:val="21"/>
                <w:u w:val="none"/>
                <w:lang w:val="en-US" w:eastAsia="zh-CN" w:bidi="ar"/>
              </w:rPr>
              <w:t>属性</w:t>
            </w:r>
          </w:p>
        </w:tc>
      </w:tr>
      <w:tr w14:paraId="6AF71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EC63DE">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经济发展</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9921F">
            <w:pPr>
              <w:keepNext w:val="0"/>
              <w:keepLines w:val="0"/>
              <w:widowControl/>
              <w:suppressLineNumbers w:val="0"/>
              <w:kinsoku/>
              <w:spacing w:beforeLines="0" w:afterLines="0" w:line="320" w:lineRule="exact"/>
              <w:jc w:val="left"/>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（1）地区生产总值（亿元）</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693A0">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457</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BD628">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600</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1B56">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6%</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5E646">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预期性</w:t>
            </w:r>
          </w:p>
        </w:tc>
      </w:tr>
      <w:tr w14:paraId="2E0E5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6EFD4">
            <w:pPr>
              <w:kinsoku/>
              <w:spacing w:beforeLines="0" w:afterLines="0" w:line="320" w:lineRule="exact"/>
              <w:jc w:val="center"/>
              <w:rPr>
                <w:rFonts w:hint="default" w:ascii="Times New Roman" w:hAnsi="Times New Roman" w:eastAsia="仿宋_GB2312"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22D3">
            <w:pPr>
              <w:keepNext w:val="0"/>
              <w:keepLines w:val="0"/>
              <w:widowControl/>
              <w:suppressLineNumbers w:val="0"/>
              <w:kinsoku/>
              <w:spacing w:beforeLines="0" w:afterLines="0" w:line="320" w:lineRule="exact"/>
              <w:jc w:val="left"/>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（2）常住人口城镇化率（%）</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9ACD">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lang w:val="en-US"/>
              </w:rPr>
            </w:pPr>
            <w:r>
              <w:rPr>
                <w:rFonts w:hint="default" w:ascii="Times New Roman" w:hAnsi="Times New Roman" w:eastAsia="仿宋_GB2312" w:cs="Times New Roman"/>
                <w:i w:val="0"/>
                <w:iCs w:val="0"/>
                <w:snapToGrid w:val="0"/>
                <w:color w:val="auto"/>
                <w:kern w:val="0"/>
                <w:sz w:val="21"/>
                <w:szCs w:val="21"/>
                <w:u w:val="none"/>
                <w:lang w:val="en-US" w:eastAsia="zh-CN" w:bidi="ar"/>
              </w:rPr>
              <w:t>81.3</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0DB2A">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lang w:val="en-US"/>
              </w:rPr>
            </w:pPr>
            <w:r>
              <w:rPr>
                <w:rFonts w:hint="default" w:ascii="Times New Roman" w:hAnsi="Times New Roman" w:eastAsia="仿宋_GB2312" w:cs="Times New Roman"/>
                <w:i w:val="0"/>
                <w:iCs w:val="0"/>
                <w:snapToGrid w:val="0"/>
                <w:color w:val="auto"/>
                <w:kern w:val="0"/>
                <w:sz w:val="21"/>
                <w:szCs w:val="21"/>
                <w:u w:val="none"/>
                <w:lang w:val="en-US" w:eastAsia="zh-CN" w:bidi="ar"/>
              </w:rPr>
              <w:t>83左右</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6436">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E7316">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预期性</w:t>
            </w:r>
          </w:p>
        </w:tc>
      </w:tr>
      <w:tr w14:paraId="75544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E1B6C7">
            <w:pPr>
              <w:kinsoku/>
              <w:spacing w:beforeLines="0" w:afterLines="0" w:line="320" w:lineRule="exact"/>
              <w:jc w:val="center"/>
              <w:rPr>
                <w:rFonts w:hint="default" w:ascii="Times New Roman" w:hAnsi="Times New Roman" w:eastAsia="仿宋_GB2312"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89BDD">
            <w:pPr>
              <w:keepNext w:val="0"/>
              <w:keepLines w:val="0"/>
              <w:widowControl/>
              <w:suppressLineNumbers w:val="0"/>
              <w:kinsoku/>
              <w:spacing w:beforeLines="0" w:afterLines="0" w:line="320" w:lineRule="exact"/>
              <w:jc w:val="left"/>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（3）全员劳动生产率增速（%）</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54F9D">
            <w:pPr>
              <w:keepNext w:val="0"/>
              <w:keepLines w:val="0"/>
              <w:widowControl/>
              <w:suppressLineNumbers w:val="0"/>
              <w:kinsoku/>
              <w:spacing w:beforeLines="0" w:afterLines="0" w:line="320" w:lineRule="exact"/>
              <w:jc w:val="center"/>
              <w:textAlignment w:val="center"/>
              <w:rPr>
                <w:rFonts w:hint="default" w:ascii="Times New Roman" w:hAnsi="Times New Roman" w:eastAsia="宋体" w:cs="Times New Roman"/>
                <w:i w:val="0"/>
                <w:iCs w:val="0"/>
                <w:color w:val="auto"/>
                <w:sz w:val="21"/>
                <w:szCs w:val="21"/>
                <w:u w:val="none"/>
              </w:rPr>
            </w:pPr>
            <w:r>
              <w:rPr>
                <w:rFonts w:hint="default" w:ascii="Times New Roman" w:hAnsi="Times New Roman" w:eastAsia="宋体" w:cs="Times New Roman"/>
                <w:i w:val="0"/>
                <w:iCs w:val="0"/>
                <w:snapToGrid w:val="0"/>
                <w:color w:val="auto"/>
                <w:kern w:val="0"/>
                <w:sz w:val="21"/>
                <w:szCs w:val="21"/>
                <w:u w:val="none"/>
                <w:lang w:val="en-US" w:eastAsia="zh-CN" w:bidi="ar"/>
              </w:rPr>
              <w:t>5.5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3AEA2">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&gt;5.5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85EA8">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&gt;5.5</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E7FAD">
            <w:pPr>
              <w:keepNext w:val="0"/>
              <w:keepLines w:val="0"/>
              <w:widowControl/>
              <w:suppressLineNumbers w:val="0"/>
              <w:kinsoku/>
              <w:spacing w:beforeLines="0" w:afterLines="0" w:line="320" w:lineRule="exact"/>
              <w:jc w:val="center"/>
              <w:textAlignment w:val="center"/>
              <w:rPr>
                <w:rFonts w:hint="default" w:ascii="Times New Roman" w:hAnsi="Times New Roman" w:eastAsia="仿宋_GB2312" w:cs="Times New Roman"/>
                <w:i w:val="0"/>
                <w:iCs w:val="0"/>
                <w:color w:val="auto"/>
                <w:sz w:val="21"/>
                <w:szCs w:val="21"/>
                <w:u w:val="none"/>
              </w:rPr>
            </w:pPr>
            <w:r>
              <w:rPr>
                <w:rFonts w:hint="default" w:ascii="Times New Roman" w:hAnsi="Times New Roman" w:eastAsia="仿宋_GB2312" w:cs="Times New Roman"/>
                <w:i w:val="0"/>
                <w:iCs w:val="0"/>
                <w:snapToGrid w:val="0"/>
                <w:color w:val="auto"/>
                <w:kern w:val="0"/>
                <w:sz w:val="21"/>
                <w:szCs w:val="21"/>
                <w:u w:val="none"/>
                <w:lang w:val="en-US" w:eastAsia="zh-CN" w:bidi="ar"/>
              </w:rPr>
              <w:t>预期性</w:t>
            </w:r>
          </w:p>
        </w:tc>
      </w:tr>
      <w:tr w14:paraId="72935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F086A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创新</w:t>
            </w:r>
            <w:r>
              <w:rPr>
                <w:rStyle w:val="22"/>
                <w:rFonts w:hint="default" w:ascii="Times New Roman" w:hAnsi="Times New Roman" w:cs="Times New Roman"/>
                <w:snapToGrid w:val="0"/>
                <w:color w:val="auto"/>
                <w:lang w:val="en-US" w:eastAsia="zh-CN" w:bidi="ar"/>
              </w:rPr>
              <w:t>驱动</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D9190">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（4）全社会研发经费投入增长（%）</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D021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2A25E">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2.8</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67A2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10</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5795D">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34750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84F27">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D23E3">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（5）每万人口高价值发明专利拥有量（件）</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EE78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13.9</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0F239">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22.39</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4E4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10</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DCF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72802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A9573">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96C7">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（6）数字经济核心产业增加值占地区生产总值比重（%）</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CA59C">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lang w:val="en-US"/>
              </w:rPr>
            </w:pPr>
            <w:r>
              <w:rPr>
                <w:rFonts w:hint="default" w:ascii="Times New Roman" w:hAnsi="Times New Roman" w:eastAsia="仿宋" w:cs="Times New Roman"/>
                <w:i w:val="0"/>
                <w:iCs w:val="0"/>
                <w:snapToGrid w:val="0"/>
                <w:color w:val="auto"/>
                <w:kern w:val="0"/>
                <w:sz w:val="21"/>
                <w:szCs w:val="21"/>
                <w:u w:val="none"/>
                <w:lang w:val="en-US" w:eastAsia="zh-CN" w:bidi="ar"/>
              </w:rPr>
              <w:t>2.5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09A1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3.5</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DCB7C">
            <w:pPr>
              <w:keepNext w:val="0"/>
              <w:keepLines w:val="0"/>
              <w:widowControl/>
              <w:suppressLineNumbers w:val="0"/>
              <w:kinsoku/>
              <w:spacing w:beforeLines="0" w:afterLines="0" w:line="320" w:lineRule="exact"/>
              <w:jc w:val="center"/>
              <w:textAlignment w:val="center"/>
              <w:rPr>
                <w:rFonts w:hint="default" w:ascii="Times New Roman" w:hAnsi="Times New Roman" w:eastAsia="宋体" w:cs="Times New Roman"/>
                <w:i w:val="0"/>
                <w:iCs w:val="0"/>
                <w:color w:val="auto"/>
                <w:sz w:val="21"/>
                <w:szCs w:val="21"/>
                <w:u w:val="none"/>
              </w:rPr>
            </w:pPr>
            <w:r>
              <w:rPr>
                <w:rFonts w:hint="default" w:ascii="Times New Roman" w:hAnsi="Times New Roman" w:eastAsia="宋体"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FB16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4981B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A8E26">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BA222">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（7）高新技术产业产值占规模以上工业总产值比重（%）</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069CA">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67.5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D17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75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4478">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[2]</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6863">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76008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DA1BA6">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民生</w:t>
            </w:r>
            <w:r>
              <w:rPr>
                <w:rStyle w:val="22"/>
                <w:rFonts w:hint="default" w:ascii="Times New Roman" w:hAnsi="Times New Roman" w:cs="Times New Roman"/>
                <w:snapToGrid w:val="0"/>
                <w:color w:val="auto"/>
                <w:lang w:val="en-US" w:eastAsia="zh-CN" w:bidi="ar"/>
              </w:rPr>
              <w:t>福祉</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1A425">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（8）居民人均可支配收入</w:t>
            </w:r>
            <w:r>
              <w:rPr>
                <w:rStyle w:val="22"/>
                <w:rFonts w:hint="default" w:ascii="Times New Roman" w:hAnsi="Times New Roman" w:cs="Times New Roman"/>
                <w:snapToGrid w:val="0"/>
                <w:color w:val="auto"/>
                <w:lang w:val="en-US" w:eastAsia="zh-CN" w:bidi="ar"/>
              </w:rPr>
              <w:t>增长（%）</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B4FC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AC106">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5.2</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8096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6</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BA26">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73011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AFB648">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70C0E">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（9）城镇调查失业率（%）</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D2B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4.5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688DF">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7F4D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2EDCC">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3E9DB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F0168">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8180">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（10）劳动年龄人口平均受</w:t>
            </w:r>
            <w:r>
              <w:rPr>
                <w:rStyle w:val="22"/>
                <w:rFonts w:hint="default" w:ascii="Times New Roman" w:hAnsi="Times New Roman" w:cs="Times New Roman"/>
                <w:snapToGrid w:val="0"/>
                <w:color w:val="auto"/>
                <w:lang w:val="en-US" w:eastAsia="zh-CN" w:bidi="ar"/>
              </w:rPr>
              <w:t>教育年限（年）</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C5A39">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12</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206F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12</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46FC4">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C881">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7B235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B3522">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7A80">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（11）每千人口拥有执业（助理）医师数（人）</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0CE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3.5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F65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4.2</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931C3">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[0.4]</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7C36F">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5C1B0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F6BEA">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5EFC1">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（12）养老机构护理型床位占比</w:t>
            </w:r>
            <w:r>
              <w:rPr>
                <w:rStyle w:val="22"/>
                <w:rFonts w:hint="default" w:ascii="Times New Roman" w:hAnsi="Times New Roman" w:cs="Times New Roman"/>
                <w:snapToGrid w:val="0"/>
                <w:color w:val="auto"/>
                <w:lang w:val="en-US" w:eastAsia="zh-CN" w:bidi="ar"/>
              </w:rPr>
              <w:t>（%）</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24F8">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AE1A9">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7438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C62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43CCA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BB0F7">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FF965">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（13）</w:t>
            </w:r>
            <w:r>
              <w:rPr>
                <w:rStyle w:val="22"/>
                <w:rFonts w:hint="default" w:ascii="Times New Roman" w:hAnsi="Times New Roman" w:cs="Times New Roman"/>
                <w:snapToGrid w:val="0"/>
                <w:color w:val="auto"/>
                <w:lang w:val="en-US" w:eastAsia="zh-CN" w:bidi="ar"/>
              </w:rPr>
              <w:t>3岁以下婴幼儿入托率提高（百分点）</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F9871">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556C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175D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45A6">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5CDEE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790BD">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084C3">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（14）人均预期寿命（岁）</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634F">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82左右</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A2D6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82左右</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BD927">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376C4">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预期性</w:t>
            </w:r>
          </w:p>
        </w:tc>
      </w:tr>
      <w:tr w14:paraId="6CC36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D06D7D">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绿色</w:t>
            </w:r>
            <w:r>
              <w:rPr>
                <w:rStyle w:val="22"/>
                <w:rFonts w:hint="default" w:ascii="Times New Roman" w:hAnsi="Times New Roman" w:cs="Times New Roman"/>
                <w:snapToGrid w:val="0"/>
                <w:color w:val="auto"/>
                <w:lang w:val="en-US" w:eastAsia="zh-CN" w:bidi="ar"/>
              </w:rPr>
              <w:t>生态</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75D74">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（15）单位GDP二</w:t>
            </w:r>
            <w:r>
              <w:rPr>
                <w:rStyle w:val="22"/>
                <w:rFonts w:hint="default" w:ascii="Times New Roman" w:hAnsi="Times New Roman" w:cs="Times New Roman"/>
                <w:snapToGrid w:val="0"/>
                <w:color w:val="auto"/>
                <w:lang w:val="en-US" w:eastAsia="zh-CN" w:bidi="ar"/>
              </w:rPr>
              <w:t>氧化碳排放量降低（%）</w:t>
            </w:r>
          </w:p>
        </w:tc>
        <w:tc>
          <w:tcPr>
            <w:tcW w:w="10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D23A13">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完成市分解任务</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68163">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lang w:val="en-US"/>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9CB6F">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7DFD">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45BF9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92D39">
            <w:pPr>
              <w:kinsoku/>
              <w:spacing w:beforeLines="0" w:afterLines="0" w:line="320" w:lineRule="exact"/>
              <w:jc w:val="left"/>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8DB34">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（16）非化石能源占能源消费总量比重（%）？</w:t>
            </w:r>
          </w:p>
        </w:tc>
        <w:tc>
          <w:tcPr>
            <w:tcW w:w="10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65AE9">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86069">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09B29">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C3F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72EAF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DED23">
            <w:pPr>
              <w:kinsoku/>
              <w:spacing w:beforeLines="0" w:afterLines="0" w:line="320" w:lineRule="exact"/>
              <w:jc w:val="left"/>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82FC2">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（17）优良水体比例（%）</w:t>
            </w:r>
          </w:p>
        </w:tc>
        <w:tc>
          <w:tcPr>
            <w:tcW w:w="10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2D9AF9">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E5B3C">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8E814">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9511E">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2B8B8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73AFD7">
            <w:pPr>
              <w:kinsoku/>
              <w:spacing w:beforeLines="0" w:afterLines="0" w:line="320" w:lineRule="exact"/>
              <w:jc w:val="left"/>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63CE">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（18）森林覆盖率（%）</w:t>
            </w:r>
          </w:p>
        </w:tc>
        <w:tc>
          <w:tcPr>
            <w:tcW w:w="10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3AC2DE">
            <w:pPr>
              <w:kinsoku/>
              <w:spacing w:beforeLines="0" w:afterLines="0" w:line="320" w:lineRule="exact"/>
              <w:jc w:val="center"/>
              <w:rPr>
                <w:rFonts w:hint="default" w:ascii="Times New Roman" w:hAnsi="Times New Roman" w:eastAsia="仿宋" w:cs="Times New Roman"/>
                <w:i w:val="0"/>
                <w:iCs w:val="0"/>
                <w:color w:val="auto"/>
                <w:sz w:val="21"/>
                <w:szCs w:val="21"/>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61BA">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18C2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02FF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7D008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9C2F32">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安全</w:t>
            </w:r>
            <w:r>
              <w:rPr>
                <w:rStyle w:val="22"/>
                <w:rFonts w:hint="default" w:ascii="Times New Roman" w:hAnsi="Times New Roman" w:cs="Times New Roman"/>
                <w:snapToGrid w:val="0"/>
                <w:color w:val="auto"/>
                <w:lang w:val="en-US" w:eastAsia="zh-CN" w:bidi="ar"/>
              </w:rPr>
              <w:t>保障</w:t>
            </w: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72376">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（19）粮食综合生产能力</w:t>
            </w:r>
            <w:r>
              <w:rPr>
                <w:rStyle w:val="22"/>
                <w:rFonts w:hint="default" w:ascii="Times New Roman" w:hAnsi="Times New Roman" w:cs="Times New Roman"/>
                <w:snapToGrid w:val="0"/>
                <w:color w:val="auto"/>
                <w:lang w:val="en-US" w:eastAsia="zh-CN" w:bidi="ar"/>
              </w:rPr>
              <w:t>（万吨）</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1D010">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0.15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2A548">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0.15</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201A1">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AC8CB">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7F711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AE67A">
            <w:pPr>
              <w:kinsoku/>
              <w:spacing w:beforeLines="0" w:afterLines="0" w:line="320" w:lineRule="exact"/>
              <w:jc w:val="left"/>
              <w:rPr>
                <w:rFonts w:hint="default" w:ascii="Times New Roman" w:hAnsi="Times New Roman" w:eastAsia="仿宋" w:cs="Times New Roman"/>
                <w:i w:val="0"/>
                <w:iCs w:val="0"/>
                <w:color w:val="auto"/>
                <w:sz w:val="21"/>
                <w:szCs w:val="21"/>
                <w:u w:val="none"/>
              </w:rPr>
            </w:pPr>
          </w:p>
        </w:tc>
        <w:tc>
          <w:tcPr>
            <w:tcW w:w="3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FB128">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（20）能源综合生产能力</w:t>
            </w:r>
            <w:r>
              <w:rPr>
                <w:rStyle w:val="22"/>
                <w:rFonts w:hint="default" w:ascii="Times New Roman" w:hAnsi="Times New Roman" w:cs="Times New Roman"/>
                <w:snapToGrid w:val="0"/>
                <w:color w:val="auto"/>
                <w:lang w:val="en-US" w:eastAsia="zh-CN" w:bidi="ar"/>
              </w:rPr>
              <w:t>（万吨标煤）</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660DE">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3.5</w:t>
            </w:r>
          </w:p>
        </w:tc>
        <w:tc>
          <w:tcPr>
            <w:tcW w:w="10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6B91">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3.59</w:t>
            </w:r>
          </w:p>
        </w:tc>
        <w:tc>
          <w:tcPr>
            <w:tcW w:w="1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74ABC">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[0.5]</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A7955">
            <w:pPr>
              <w:keepNext w:val="0"/>
              <w:keepLines w:val="0"/>
              <w:widowControl/>
              <w:suppressLineNumbers w:val="0"/>
              <w:kinsoku/>
              <w:spacing w:beforeLines="0" w:afterLines="0" w:line="320" w:lineRule="exact"/>
              <w:jc w:val="center"/>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约束性</w:t>
            </w:r>
          </w:p>
        </w:tc>
      </w:tr>
      <w:tr w14:paraId="62BEB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31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79C96">
            <w:pPr>
              <w:keepNext w:val="0"/>
              <w:keepLines w:val="0"/>
              <w:widowControl/>
              <w:suppressLineNumbers w:val="0"/>
              <w:kinsoku/>
              <w:spacing w:beforeLines="0" w:afterLines="0" w:line="320" w:lineRule="exact"/>
              <w:jc w:val="left"/>
              <w:textAlignment w:val="center"/>
              <w:rPr>
                <w:rFonts w:hint="default" w:ascii="Times New Roman" w:hAnsi="Times New Roman" w:eastAsia="仿宋" w:cs="Times New Roman"/>
                <w:i w:val="0"/>
                <w:iCs w:val="0"/>
                <w:color w:val="auto"/>
                <w:sz w:val="21"/>
                <w:szCs w:val="21"/>
                <w:u w:val="none"/>
              </w:rPr>
            </w:pPr>
            <w:r>
              <w:rPr>
                <w:rFonts w:hint="default" w:ascii="Times New Roman" w:hAnsi="Times New Roman" w:eastAsia="仿宋" w:cs="Times New Roman"/>
                <w:i w:val="0"/>
                <w:iCs w:val="0"/>
                <w:snapToGrid w:val="0"/>
                <w:color w:val="auto"/>
                <w:kern w:val="0"/>
                <w:sz w:val="21"/>
                <w:szCs w:val="21"/>
                <w:u w:val="none"/>
                <w:lang w:val="en-US" w:eastAsia="zh-CN" w:bidi="ar"/>
              </w:rPr>
              <w:t>注：标注*的指标为威海市“十五五”规划之外、体现经开区特色的指标。</w:t>
            </w:r>
          </w:p>
        </w:tc>
      </w:tr>
    </w:tbl>
    <w:p w14:paraId="26D64240">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五、空间布局</w:t>
      </w:r>
    </w:p>
    <w:p w14:paraId="0014225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en-US"/>
        </w:rPr>
        <w:t>以拓展城市发展框架、提升全域精致品质为核心目标，持续深化“中部崛起、西部提升、东部突破”空间发展战略，清晰界定各功能区核心定位、发展方向和重点任务，实现全域差异化发展、协同化发力、一体化提升。</w:t>
      </w:r>
    </w:p>
    <w:p w14:paraId="08BF629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en-US"/>
        </w:rPr>
        <w:t>──中部崛起：打造战略枢纽与产业增长极。涵盖中韩自贸区地方经济合作示范区产业园、崮山产业园及威海港周边片区，聚焦产业倍增目标，加快中韩自贸区产业园建设，打造国内韩日商品集散地“第一门户”；集中资源发展船舶与海工装备产业，建设全省领先、国内知名的制造基地；依托港口资源培育现代物流、跨境电商产业集群，构建辐射东北亚的区域性航运物流中心与跨境电商高地。同时串联威海港、韩乐坊等“陆海明珠”，融入滨海康养旅游元素，2030年中部区域产业规模突破500亿元，成为全区核心增长极。</w:t>
      </w:r>
    </w:p>
    <w:p w14:paraId="3574A8B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en-US"/>
        </w:rPr>
        <w:t>──西部提升：构建产城融合与服务业新高地。作为发展成熟度最高、城市服务功能最完善的核心片区，着力构建现代服务业为主、高端制造业为辅的产城融合格局。依托服务贸易产业园、T16艺文街区等载体，培育数字经济、服务贸易、总部经济、首发经济等新兴业态，支持</w:t>
      </w:r>
      <w:r>
        <w:rPr>
          <w:rFonts w:hint="default" w:ascii="Times New Roman" w:hAnsi="Times New Roman" w:eastAsia="仿宋_GB2312" w:cs="Times New Roman"/>
          <w:color w:val="auto"/>
          <w:lang w:val="en-US" w:eastAsia="zh-CN"/>
        </w:rPr>
        <w:t>智慧谷服务贸易产业园</w:t>
      </w:r>
      <w:r>
        <w:rPr>
          <w:rFonts w:hint="default" w:ascii="Times New Roman" w:hAnsi="Times New Roman" w:eastAsia="仿宋_GB2312" w:cs="Times New Roman"/>
          <w:color w:val="auto"/>
          <w:lang w:val="en-US" w:eastAsia="en-US"/>
        </w:rPr>
        <w:t>争创中韩服务贸易国际合作示范园区；深化低效用地整治与片区更新，以“工改工”模式打造都市精致产业园，同步优化商圈消费场景与休闲服务功能，巩固在全区服务业发展与高端制造配套中的核心地位。</w:t>
      </w:r>
    </w:p>
    <w:p w14:paraId="7F09DF0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lang w:val="en-US" w:eastAsia="en-US"/>
        </w:rPr>
        <w:t>──东部突破：塑造未来新城与高端产业策源地。紧扣全市“东拓、南延、西展”框架，以“品质化、高端化”为导向，打造威海高端产业策源地、未来服务业新极核与现代化新城样板。推进泊于工业园改造提升，依托海上风电绿电资源，</w:t>
      </w:r>
      <w:r>
        <w:rPr>
          <w:rFonts w:hint="default" w:ascii="Times New Roman" w:hAnsi="Times New Roman" w:eastAsia="仿宋_GB2312" w:cs="Times New Roman"/>
          <w:color w:val="auto"/>
          <w:lang w:val="en-US" w:eastAsia="zh-CN"/>
        </w:rPr>
        <w:t>打造</w:t>
      </w:r>
      <w:r>
        <w:rPr>
          <w:rFonts w:hint="default" w:ascii="Times New Roman" w:hAnsi="Times New Roman" w:eastAsia="仿宋_GB2312" w:cs="Times New Roman"/>
          <w:color w:val="auto"/>
          <w:lang w:val="en-US" w:eastAsia="en-US"/>
        </w:rPr>
        <w:t>2000亩绿电直连零碳产业园，培育制造业新增量；抢抓国际康养旅游试验区建设机遇，依托滨海生态资源发展康养文旅、会议会展、教育科研等产业，打造国际滨海休闲旅游度假目的地；整合沿线山海资源，丰富康养体验业态，释放区域长远发展潜力。</w:t>
      </w:r>
    </w:p>
    <w:p w14:paraId="5790138D">
      <w:pPr>
        <w:pStyle w:val="6"/>
        <w:widowControl w:val="0"/>
        <w:kinsoku/>
        <w:overflowPunct w:val="0"/>
        <w:spacing w:beforeLines="0" w:afterLines="0"/>
        <w:jc w:val="center"/>
        <w:rPr>
          <w:rFonts w:hint="default" w:ascii="Times New Roman" w:hAnsi="Times New Roman" w:eastAsia="仿宋_GB2312" w:cs="Times New Roman"/>
          <w:color w:val="auto"/>
          <w:sz w:val="32"/>
          <w:szCs w:val="44"/>
          <w:lang w:val="en-US" w:eastAsia="en-US"/>
        </w:rPr>
      </w:pPr>
      <w:r>
        <w:rPr>
          <w:rFonts w:hint="default" w:ascii="Times New Roman" w:hAnsi="Times New Roman" w:eastAsia="仿宋_GB2312" w:cs="Times New Roman"/>
          <w:color w:val="auto"/>
          <w:sz w:val="32"/>
          <w:szCs w:val="44"/>
          <w:lang w:val="en-US" w:eastAsia="en-US"/>
        </w:rPr>
        <w:drawing>
          <wp:anchor distT="0" distB="0" distL="114300" distR="114300" simplePos="0" relativeHeight="251659264" behindDoc="0" locked="0" layoutInCell="1" allowOverlap="1">
            <wp:simplePos x="0" y="0"/>
            <wp:positionH relativeFrom="column">
              <wp:posOffset>98425</wp:posOffset>
            </wp:positionH>
            <wp:positionV relativeFrom="paragraph">
              <wp:posOffset>267970</wp:posOffset>
            </wp:positionV>
            <wp:extent cx="5322570" cy="2745105"/>
            <wp:effectExtent l="0" t="0" r="11430" b="17145"/>
            <wp:wrapSquare wrapText="bothSides"/>
            <wp:docPr id="2" name="图片 2" descr="自然资源——区“十五五”规划纲要更换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自然资源——区“十五五”规划纲要更换图片"/>
                    <pic:cNvPicPr>
                      <a:picLocks noChangeAspect="1"/>
                    </pic:cNvPicPr>
                  </pic:nvPicPr>
                  <pic:blipFill>
                    <a:blip r:embed="rId9"/>
                    <a:srcRect t="8328"/>
                    <a:stretch>
                      <a:fillRect/>
                    </a:stretch>
                  </pic:blipFill>
                  <pic:spPr>
                    <a:xfrm>
                      <a:off x="0" y="0"/>
                      <a:ext cx="5322570" cy="2745105"/>
                    </a:xfrm>
                    <a:prstGeom prst="rect">
                      <a:avLst/>
                    </a:prstGeom>
                  </pic:spPr>
                </pic:pic>
              </a:graphicData>
            </a:graphic>
          </wp:anchor>
        </w:drawing>
      </w:r>
      <w:r>
        <w:rPr>
          <w:rFonts w:hint="default" w:ascii="Times New Roman" w:hAnsi="Times New Roman" w:eastAsia="仿宋_GB2312" w:cs="Times New Roman"/>
          <w:color w:val="auto"/>
          <w:lang w:val="en-US" w:eastAsia="en-US"/>
        </w:rPr>
        <w:t>经开区“十五五”空间发展战略</w:t>
      </w:r>
    </w:p>
    <w:p w14:paraId="1D33116B">
      <w:pPr>
        <w:pStyle w:val="6"/>
        <w:pageBreakBefore w:val="0"/>
        <w:widowControl w:val="0"/>
        <w:numPr>
          <w:ilvl w:val="-1"/>
          <w:numId w:val="0"/>
        </w:numPr>
        <w:kinsoku/>
        <w:wordWrap/>
        <w:overflowPunct w:val="0"/>
        <w:topLinePunct w:val="0"/>
        <w:bidi w:val="0"/>
        <w:adjustRightInd w:val="0"/>
        <w:snapToGrid w:val="0"/>
        <w:spacing w:before="0" w:beforeLines="0" w:afterLines="0" w:line="560" w:lineRule="exact"/>
        <w:jc w:val="both"/>
        <w:rPr>
          <w:rFonts w:ascii="Times New Roman" w:hAnsi="Times New Roman" w:cs="Times New Roman"/>
          <w:color w:val="auto"/>
        </w:rPr>
      </w:pPr>
    </w:p>
    <w:p w14:paraId="1933E195">
      <w:pPr>
        <w:pStyle w:val="6"/>
        <w:widowControl w:val="0"/>
        <w:overflowPunct w:val="0"/>
        <w:jc w:val="both"/>
        <w:rPr>
          <w:rFonts w:hint="default" w:ascii="Times New Roman" w:hAnsi="Times New Roman" w:eastAsia="仿宋_GB2312" w:cs="Times New Roman"/>
          <w:color w:val="auto"/>
          <w:sz w:val="32"/>
          <w:szCs w:val="44"/>
          <w:lang w:val="en-US" w:eastAsia="en-US"/>
        </w:rPr>
      </w:pPr>
    </w:p>
    <w:p w14:paraId="5B256711">
      <w:pPr>
        <w:kinsoku/>
        <w:spacing w:beforeLines="0" w:afterLines="0" w:line="560" w:lineRule="exact"/>
        <w:jc w:val="center"/>
        <w:rPr>
          <w:rFonts w:hint="default" w:ascii="Times New Roman" w:hAnsi="Times New Roman" w:cs="Times New Roman" w:eastAsiaTheme="minorEastAsia"/>
          <w:color w:val="auto"/>
          <w:sz w:val="24"/>
          <w:szCs w:val="24"/>
          <w:lang w:val="en-US" w:eastAsia="zh-CN"/>
        </w:rPr>
      </w:pPr>
    </w:p>
    <w:p w14:paraId="67D203EC">
      <w:pPr>
        <w:kinsoku/>
        <w:spacing w:beforeLines="0" w:afterLines="0" w:line="560" w:lineRule="exact"/>
        <w:jc w:val="center"/>
        <w:rPr>
          <w:rFonts w:hint="default" w:ascii="Times New Roman" w:hAnsi="Times New Roman" w:cs="Times New Roman" w:eastAsiaTheme="minorEastAsia"/>
          <w:color w:val="auto"/>
          <w:sz w:val="24"/>
          <w:szCs w:val="24"/>
          <w:lang w:val="en-US" w:eastAsia="zh-CN"/>
        </w:rPr>
      </w:pPr>
    </w:p>
    <w:p w14:paraId="3DE8A8BD">
      <w:pPr>
        <w:kinsoku/>
        <w:spacing w:beforeLines="0" w:afterLines="0" w:line="560" w:lineRule="exact"/>
        <w:jc w:val="center"/>
        <w:rPr>
          <w:rFonts w:hint="default" w:ascii="Times New Roman" w:hAnsi="Times New Roman" w:cs="Times New Roman" w:eastAsiaTheme="minorEastAsia"/>
          <w:color w:val="auto"/>
          <w:sz w:val="24"/>
          <w:szCs w:val="24"/>
          <w:lang w:val="en-US" w:eastAsia="zh-CN"/>
        </w:rPr>
      </w:pPr>
    </w:p>
    <w:p w14:paraId="6E2EE2F1">
      <w:pPr>
        <w:kinsoku/>
        <w:spacing w:beforeLines="0" w:afterLines="0" w:line="560" w:lineRule="exact"/>
        <w:jc w:val="center"/>
        <w:rPr>
          <w:rFonts w:hint="default" w:ascii="Times New Roman" w:hAnsi="Times New Roman" w:cs="Times New Roman" w:eastAsiaTheme="minorEastAsia"/>
          <w:color w:val="auto"/>
          <w:sz w:val="24"/>
          <w:szCs w:val="24"/>
          <w:lang w:val="en-US" w:eastAsia="zh-CN"/>
        </w:rPr>
      </w:pPr>
    </w:p>
    <w:p w14:paraId="5A516C66">
      <w:pPr>
        <w:kinsoku/>
        <w:spacing w:beforeLines="0" w:afterLines="0" w:line="560" w:lineRule="exact"/>
        <w:jc w:val="center"/>
        <w:rPr>
          <w:rFonts w:hint="default" w:ascii="Times New Roman" w:hAnsi="Times New Roman" w:cs="Times New Roman" w:eastAsiaTheme="minorEastAsia"/>
          <w:color w:val="auto"/>
          <w:sz w:val="24"/>
          <w:szCs w:val="24"/>
          <w:lang w:val="en-US" w:eastAsia="zh-CN"/>
        </w:rPr>
      </w:pPr>
    </w:p>
    <w:p w14:paraId="47A50A61">
      <w:pPr>
        <w:pStyle w:val="3"/>
        <w:kinsoku/>
        <w:bidi w:val="0"/>
        <w:spacing w:before="0" w:beforeLines="0" w:after="0" w:afterLines="0" w:line="560" w:lineRule="exact"/>
        <w:rPr>
          <w:rFonts w:hint="default" w:ascii="Times New Roman" w:hAnsi="Times New Roman" w:cs="Times New Roman"/>
          <w:color w:val="auto"/>
        </w:rPr>
      </w:pPr>
      <w:bookmarkStart w:id="6" w:name="_Toc12097"/>
      <w:r>
        <w:rPr>
          <w:rFonts w:hint="default" w:ascii="Times New Roman" w:hAnsi="Times New Roman" w:cs="Times New Roman"/>
          <w:color w:val="auto"/>
          <w:sz w:val="32"/>
          <w:szCs w:val="32"/>
        </w:rPr>
        <w:t>第二章</w:t>
      </w:r>
      <w:r>
        <w:rPr>
          <w:rFonts w:hint="default"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rPr>
        <w:t>聚链成群优结构 夯基固本强实体</w:t>
      </w:r>
      <w:bookmarkEnd w:id="6"/>
    </w:p>
    <w:p w14:paraId="51F6809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1F7B312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深入贯彻国家、省</w:t>
      </w:r>
      <w:r>
        <w:rPr>
          <w:rFonts w:hint="default" w:ascii="Times New Roman" w:hAnsi="Times New Roman" w:cs="Times New Roman"/>
          <w:color w:val="auto"/>
          <w:lang w:val="en-US" w:eastAsia="zh-CN"/>
        </w:rPr>
        <w:t>、市</w:t>
      </w:r>
      <w:r>
        <w:rPr>
          <w:rFonts w:hint="default" w:ascii="Times New Roman" w:hAnsi="Times New Roman" w:eastAsia="仿宋_GB2312" w:cs="Times New Roman"/>
          <w:color w:val="auto"/>
          <w:lang w:val="en-US" w:eastAsia="zh-CN"/>
        </w:rPr>
        <w:t>关于产业高质量发展战略部署，坚持“传统产业焕新、新兴产业壮大、未来产业培育”协同推进主线，精准对接国家先进制造业、海洋强国、新一代电子信息及未来产业发展规划，深度融入青烟威世界级船舶与海工装备产业集群布局，立足经开区产业基础、资源禀赋与开放优势，系统推进“4</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3</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2”现代产业体系建设，</w:t>
      </w:r>
      <w:r>
        <w:rPr>
          <w:rFonts w:hint="default" w:ascii="Times New Roman" w:hAnsi="Times New Roman" w:cs="Times New Roman"/>
          <w:color w:val="auto"/>
          <w:lang w:val="en-US" w:eastAsia="zh-CN"/>
        </w:rPr>
        <w:t>引导</w:t>
      </w:r>
      <w:r>
        <w:rPr>
          <w:rFonts w:hint="default" w:ascii="Times New Roman" w:hAnsi="Times New Roman" w:eastAsia="仿宋_GB2312" w:cs="Times New Roman"/>
          <w:color w:val="auto"/>
          <w:lang w:val="en-US" w:eastAsia="zh-CN"/>
        </w:rPr>
        <w:t>产业链向价值链高端攀升、创新链与产业链深度融合，全面筑牢实体经济高质量发展根基。</w:t>
      </w:r>
    </w:p>
    <w:p w14:paraId="414AC64A">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7" w:name="_Toc19947"/>
      <w:r>
        <w:rPr>
          <w:rFonts w:hint="default" w:ascii="Times New Roman" w:hAnsi="Times New Roman" w:cs="Times New Roman"/>
          <w:color w:val="auto"/>
          <w:lang w:val="en-US" w:eastAsia="zh-CN"/>
        </w:rPr>
        <w:t>第一节 聚力壮大“四大”产业集群</w:t>
      </w:r>
      <w:bookmarkEnd w:id="7"/>
    </w:p>
    <w:p w14:paraId="735710E9">
      <w:pPr>
        <w:pStyle w:val="6"/>
        <w:kinsoku/>
        <w:bidi w:val="0"/>
        <w:spacing w:before="0" w:beforeLines="0" w:afterLines="0" w:line="560" w:lineRule="exact"/>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优势产业锻长板、战略产业扩规模、传统产业提能级、未来产业抢先机的发展思路，以传统产业高端化、智能化、绿色化转型为坚实底座，以战略性新兴产业集群化、融合化发展为核心引擎，以未来产业前瞻布局、场景赋能为战略储备，推动三类产业梯次成长、融通发展、共生共进。强化链主企业引领作用与产业生态聚合效应，支持重点骨干企业实施兼并重组、跨界整合、延链强链，推动百亿级企业实现突破、十亿级企业扩容倍增，梯度培育专精特新、专精特新“小巨人”、制造业单项冠军及上市后备企业梯队。到2030年，四大主导产业集群总产值突破6</w:t>
      </w:r>
      <w:r>
        <w:rPr>
          <w:rFonts w:hint="default" w:ascii="Times New Roman" w:hAnsi="Times New Roman" w:cs="Times New Roman"/>
          <w:color w:val="auto"/>
          <w:lang w:val="en-US" w:eastAsia="zh-CN"/>
        </w:rPr>
        <w:t>0</w:t>
      </w:r>
      <w:r>
        <w:rPr>
          <w:rFonts w:hint="default" w:ascii="Times New Roman" w:hAnsi="Times New Roman" w:eastAsia="仿宋_GB2312" w:cs="Times New Roman"/>
          <w:color w:val="auto"/>
          <w:lang w:val="en-US" w:eastAsia="zh-CN"/>
        </w:rPr>
        <w:t>0亿元，年均增速稳定保</w:t>
      </w:r>
      <w:r>
        <w:rPr>
          <w:rFonts w:hint="default" w:ascii="Times New Roman" w:hAnsi="Times New Roman" w:cs="Times New Roman"/>
          <w:color w:val="auto"/>
          <w:lang w:val="en-US" w:eastAsia="zh-CN"/>
        </w:rPr>
        <w:t>持在</w:t>
      </w:r>
      <w:r>
        <w:rPr>
          <w:rFonts w:hint="default" w:ascii="Times New Roman" w:hAnsi="Times New Roman" w:eastAsia="仿宋_GB2312" w:cs="Times New Roman"/>
          <w:color w:val="auto"/>
          <w:lang w:val="en-US" w:eastAsia="zh-CN"/>
        </w:rPr>
        <w:t>10%以上；培育年营收超10亿元企业20家、超30亿元企业8家、超50亿元企业5家、超百亿元企业2家。</w:t>
      </w:r>
    </w:p>
    <w:p w14:paraId="406B8794">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一、船舶与海工装备产业</w:t>
      </w:r>
    </w:p>
    <w:p w14:paraId="5DBE261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250D88F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造船”与“造链”协同发力，构建“研发设计—核心零部件—总装集成—运维服务”全产业链生态。依托青烟威世界级船舶与海工装备产业集群优势，聚焦绿色化、智能化、深远海化方向，强化产业基础再造与重大技术装备攻关，打造国内一流、国际有影响力的船舶与海工装备制造基地。到2030年，集群产值突破250亿元，本土配套率提升1</w:t>
      </w:r>
      <w:r>
        <w:rPr>
          <w:rFonts w:hint="default" w:ascii="Times New Roman" w:hAnsi="Times New Roman" w:cs="Times New Roman"/>
          <w:color w:val="auto"/>
          <w:lang w:val="en-US" w:eastAsia="zh-CN"/>
        </w:rPr>
        <w:t>0</w:t>
      </w:r>
      <w:r>
        <w:rPr>
          <w:rFonts w:hint="default" w:ascii="Times New Roman" w:hAnsi="Times New Roman" w:eastAsia="仿宋_GB2312" w:cs="Times New Roman"/>
          <w:color w:val="auto"/>
          <w:lang w:val="en-US" w:eastAsia="zh-CN"/>
        </w:rPr>
        <w:t>个百分点</w:t>
      </w:r>
      <w:r>
        <w:rPr>
          <w:rFonts w:hint="default" w:ascii="Times New Roman" w:hAnsi="Times New Roman" w:cs="Times New Roman"/>
          <w:color w:val="auto"/>
          <w:lang w:val="en-US" w:eastAsia="zh-CN"/>
        </w:rPr>
        <w:t>，利润率提高5个百分点以上</w:t>
      </w:r>
      <w:r>
        <w:rPr>
          <w:rFonts w:hint="default" w:ascii="Times New Roman" w:hAnsi="Times New Roman" w:eastAsia="仿宋_GB2312" w:cs="Times New Roman"/>
          <w:color w:val="auto"/>
          <w:lang w:val="en-US" w:eastAsia="zh-CN"/>
        </w:rPr>
        <w:t>。</w:t>
      </w:r>
    </w:p>
    <w:p w14:paraId="6133C22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583CBAE9">
      <w:pPr>
        <w:pStyle w:val="6"/>
        <w:keepNext w:val="0"/>
        <w:keepLines w:val="0"/>
        <w:pageBreakBefore w:val="0"/>
        <w:widowControl w:val="0"/>
        <w:kinsoku/>
        <w:wordWrap/>
        <w:overflowPunct/>
        <w:topLinePunct w:val="0"/>
        <w:autoSpaceDE/>
        <w:autoSpaceDN/>
        <w:bidi w:val="0"/>
        <w:adjustRightInd/>
        <w:snapToGrid/>
        <w:spacing w:before="0" w:beforeLines="0" w:afterLines="0" w:line="560" w:lineRule="exact"/>
        <w:jc w:val="both"/>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攻坚高端船型，强化链主引领。聚焦大型LNG运输船、氨/甲醇双燃料动力船、高端客滚船及特种工程船等绿色智能船型，支持招商工业威海船厂、芜船</w:t>
      </w:r>
      <w:r>
        <w:rPr>
          <w:rFonts w:hint="default" w:ascii="Times New Roman" w:hAnsi="Times New Roman" w:cs="Times New Roman"/>
          <w:color w:val="auto"/>
          <w:lang w:val="en-US" w:eastAsia="zh-CN"/>
        </w:rPr>
        <w:t>船舶</w:t>
      </w:r>
      <w:r>
        <w:rPr>
          <w:rFonts w:hint="default" w:ascii="Times New Roman" w:hAnsi="Times New Roman" w:eastAsia="仿宋_GB2312" w:cs="Times New Roman"/>
          <w:color w:val="auto"/>
          <w:lang w:val="en-US" w:eastAsia="zh-CN"/>
        </w:rPr>
        <w:t>扩能提质，推进中大型豪华邮轮配套基地建设，</w:t>
      </w:r>
      <w:r>
        <w:rPr>
          <w:rFonts w:hint="default" w:ascii="Times New Roman" w:hAnsi="Times New Roman" w:eastAsia="仿宋_GB2312" w:cs="Times New Roman"/>
          <w:b w:val="0"/>
          <w:bCs w:val="0"/>
          <w:color w:val="auto"/>
          <w:kern w:val="0"/>
          <w:sz w:val="32"/>
          <w:szCs w:val="32"/>
          <w:lang w:val="en-US" w:eastAsia="zh-CN" w:bidi="ar"/>
        </w:rPr>
        <w:t>开发汽车滚装船、重吊船等高附加值船型</w:t>
      </w:r>
      <w:r>
        <w:rPr>
          <w:rFonts w:hint="default" w:ascii="Times New Roman" w:hAnsi="Times New Roman" w:eastAsia="仿宋_GB2312" w:cs="Times New Roman"/>
          <w:color w:val="auto"/>
          <w:lang w:val="en-US" w:eastAsia="zh-CN"/>
        </w:rPr>
        <w:t>，支持高德船艇等骨干企业向品牌化、高端化跃升，抢占国际细分市场。</w:t>
      </w:r>
    </w:p>
    <w:p w14:paraId="36CEEC0B">
      <w:pPr>
        <w:pStyle w:val="6"/>
        <w:keepNext w:val="0"/>
        <w:keepLines w:val="0"/>
        <w:pageBreakBefore w:val="0"/>
        <w:widowControl w:val="0"/>
        <w:kinsoku/>
        <w:wordWrap/>
        <w:overflowPunct/>
        <w:topLinePunct w:val="0"/>
        <w:autoSpaceDE/>
        <w:autoSpaceDN/>
        <w:bidi w:val="0"/>
        <w:adjustRightInd/>
        <w:snapToGrid/>
        <w:spacing w:before="0" w:beforeLines="0" w:afterLines="0" w:line="560" w:lineRule="exact"/>
        <w:ind w:firstLine="640"/>
        <w:jc w:val="both"/>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补链强链延链，提升本土配套。建立核心配套精准招商清单，靶向引进船舶动力系统、高端甲板机械、船用电子与导航通信等关键环节，推动核心部件本地化量产。深化中船716研究所、荷兰SBM等国际合作，拓展高附加值海工装备设计、海洋工程运维与融资租赁服务，延伸产业链价值链条。强化产教融合与生态培育，定向孵化培育本土</w:t>
      </w:r>
      <w:r>
        <w:rPr>
          <w:rFonts w:hint="default" w:ascii="Times New Roman" w:hAnsi="Times New Roman" w:cs="Times New Roman"/>
          <w:color w:val="auto"/>
          <w:lang w:val="en-US" w:eastAsia="zh-CN"/>
        </w:rPr>
        <w:t>专精特新中小企业</w:t>
      </w:r>
      <w:r>
        <w:rPr>
          <w:rFonts w:hint="default" w:ascii="Times New Roman" w:hAnsi="Times New Roman" w:eastAsia="仿宋_GB2312" w:cs="Times New Roman"/>
          <w:color w:val="auto"/>
          <w:lang w:val="en-US" w:eastAsia="zh-CN"/>
        </w:rPr>
        <w:t>，构建整机牵引、配套协同、服务赋能的深度融合产业生态。</w:t>
      </w:r>
    </w:p>
    <w:p w14:paraId="732A35E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数智赋能转型，建设绿色工厂。深入实施“人工智能+制造”行动，主动融入国家“百大场景、千家标杆”工程，常态化推进“智赋千企”。建设一批领航级、卓越级智能工厂与省级绿色制造示范标杆，推动船舶制造向数字化孪生、精益化生产、服务型制造转型。高质量完成省级数字经济特色集聚区建设任务。</w:t>
      </w:r>
    </w:p>
    <w:p w14:paraId="0943342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拓展融合场景，赋能精致城市。依托威海“创新型国际化海洋城市”与“滨海康养旅游目的地”定位，开发“船舶+文旅”“海工+研学”新业态，建设海上休闲运动集聚区。以崮山镇工业园、东部滨海新城711地块为核心载体，高标准建设集整船总装、核心配套、检验检测、研发中试于一体的产业生态园，推动产业集约化、高端化发展。</w:t>
      </w:r>
    </w:p>
    <w:p w14:paraId="68E3F883">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二、新一代信息技术产业</w:t>
      </w:r>
    </w:p>
    <w:p w14:paraId="5E88D3A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cs="Times New Roman"/>
          <w:b/>
          <w:bCs w:val="0"/>
          <w:color w:val="auto"/>
          <w:lang w:val="en-US" w:eastAsia="zh-CN"/>
        </w:rPr>
        <w:t>（一）</w:t>
      </w:r>
      <w:r>
        <w:rPr>
          <w:rFonts w:hint="default" w:ascii="Times New Roman" w:hAnsi="Times New Roman" w:eastAsia="仿宋_GB2312" w:cs="Times New Roman"/>
          <w:b/>
          <w:bCs w:val="0"/>
          <w:color w:val="auto"/>
          <w:lang w:val="en-US" w:eastAsia="zh-CN"/>
        </w:rPr>
        <w:t>发展思路与目标</w:t>
      </w:r>
    </w:p>
    <w:p w14:paraId="7076A29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锚定数字经济“硬件底座”定位，聚焦“芯、屏、端”核心赛道，主攻第三代半导体封装测试、智能终端核心部件与数字关键技术攻关。坚持“硬件筑基、软硬协同”，打造胶东半岛新一代信息技术硬件制造与创新转化高地。到2030年，产业规模突破150亿元，较“十四五”末实现倍增；培育省级首台（套）重大技术装备10件以上，形成“核心部件领先、终端产品优质、软硬融合赋能”的发展格局。</w:t>
      </w:r>
    </w:p>
    <w:p w14:paraId="0C62C24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735A8B57">
      <w:pPr>
        <w:pStyle w:val="6"/>
        <w:keepNext w:val="0"/>
        <w:keepLines w:val="0"/>
        <w:pageBreakBefore w:val="0"/>
        <w:widowControl/>
        <w:kinsoku/>
        <w:wordWrap/>
        <w:overflowPunct/>
        <w:topLinePunct w:val="0"/>
        <w:autoSpaceDE/>
        <w:autoSpaceDN/>
        <w:bidi w:val="0"/>
        <w:adjustRightInd/>
        <w:snapToGrid/>
        <w:spacing w:before="0" w:beforeLines="0" w:afterLines="0" w:line="560" w:lineRule="exact"/>
        <w:jc w:val="left"/>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“芯”领域攻坚。依托日月新等龙头企业深耕第三代半导体封装测试，突破SiP/Chiplet先进封装技术。</w:t>
      </w:r>
      <w:r>
        <w:rPr>
          <w:rFonts w:hint="default" w:ascii="Times New Roman" w:hAnsi="Times New Roman" w:cs="Times New Roman"/>
          <w:color w:val="auto"/>
          <w:lang w:val="en-US" w:eastAsia="zh-CN"/>
        </w:rPr>
        <w:t>推动</w:t>
      </w:r>
      <w:r>
        <w:rPr>
          <w:rFonts w:hint="eastAsia" w:ascii="Times New Roman" w:hAnsi="Times New Roman" w:cs="Times New Roman"/>
          <w:color w:val="auto"/>
          <w:lang w:val="en-US" w:eastAsia="zh-CN"/>
        </w:rPr>
        <w:t>电</w:t>
      </w:r>
      <w:r>
        <w:rPr>
          <w:rFonts w:hint="default" w:ascii="Times New Roman" w:hAnsi="Times New Roman" w:eastAsia="仿宋_GB2312" w:cs="Times New Roman"/>
          <w:color w:val="auto"/>
          <w:lang w:val="en-US" w:eastAsia="zh-CN"/>
        </w:rPr>
        <w:t>美世、瑞翼德等企业攻克半导体显示驱动及芯片封装设备核心技术，加速关键环节国产替代。到2030年，集成电路及半导体材料产业规模达30亿元。</w:t>
      </w:r>
    </w:p>
    <w:p w14:paraId="6B70484C">
      <w:pPr>
        <w:pStyle w:val="6"/>
        <w:keepNext w:val="0"/>
        <w:keepLines w:val="0"/>
        <w:pageBreakBefore w:val="0"/>
        <w:widowControl/>
        <w:kinsoku/>
        <w:wordWrap/>
        <w:overflowPunct/>
        <w:topLinePunct w:val="0"/>
        <w:autoSpaceDE/>
        <w:autoSpaceDN/>
        <w:bidi w:val="0"/>
        <w:adjustRightInd/>
        <w:snapToGrid/>
        <w:spacing w:before="0" w:beforeLines="0" w:afterLines="0" w:line="560" w:lineRule="exact"/>
        <w:jc w:val="left"/>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屏”与“端”协同提质。以泓淋电力为链主，扩大特种线缆与大功率超充组件产能，参与主导行业标准制定。支持大宇电子等拓展OLED/MiniLED新型显示及智能模组应用。培育乐家、艾迪科等企业开发工业级智能传感器、城市安全终端，推动硬件企业向“智能终端+嵌入式系统”一体化方案商转型。到2030年，智能终端及数字硬件产业规模突破1</w:t>
      </w:r>
      <w:r>
        <w:rPr>
          <w:rFonts w:hint="default" w:ascii="Times New Roman" w:hAnsi="Times New Roman" w:cs="Times New Roman"/>
          <w:color w:val="auto"/>
          <w:lang w:val="en-US" w:eastAsia="zh-CN"/>
        </w:rPr>
        <w:t>2</w:t>
      </w:r>
      <w:r>
        <w:rPr>
          <w:rFonts w:hint="default" w:ascii="Times New Roman" w:hAnsi="Times New Roman" w:eastAsia="仿宋_GB2312" w:cs="Times New Roman"/>
          <w:color w:val="auto"/>
          <w:lang w:val="en-US" w:eastAsia="zh-CN"/>
        </w:rPr>
        <w:t>0亿元。</w:t>
      </w:r>
    </w:p>
    <w:p w14:paraId="17128BD0">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三、高端装备产业</w:t>
      </w:r>
    </w:p>
    <w:p w14:paraId="580D58D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3B795D2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高端引领、数字驱动、特色突围”，聚焦工业母机、智能装备与特种机械细分领域，构建“核心部件+整机集成+工业服务”产业生态。推动重点细分领域实现从“跟跑并跑”向“特色领跑”跨越，为新型工业化提供硬核支撑。到2030年，产业规模突破100亿元。</w:t>
      </w:r>
    </w:p>
    <w:p w14:paraId="4B9A5B6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7AF57C66">
      <w:pPr>
        <w:pStyle w:val="6"/>
        <w:keepNext w:val="0"/>
        <w:keepLines w:val="0"/>
        <w:pageBreakBefore w:val="0"/>
        <w:widowControl w:val="0"/>
        <w:kinsoku/>
        <w:wordWrap/>
        <w:overflowPunct/>
        <w:topLinePunct w:val="0"/>
        <w:autoSpaceDE/>
        <w:autoSpaceDN/>
        <w:bidi w:val="0"/>
        <w:adjustRightInd/>
        <w:snapToGrid/>
        <w:spacing w:before="0" w:beforeLines="0" w:afterLines="0" w:line="560" w:lineRule="exact"/>
        <w:jc w:val="left"/>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传统装备迭代升级。引导华东数控、百圣源等企业主攻高端五轴数控机床、精密磨床与柔性智能产线，深化与航空航天、新能源汽车等领域对接。实施腾森轮胎高性能子午胎、贝卡尔特钢帘线等技改项目，推动动力环保装备向高效节能、定制化治理方向升级，培育2—3个全国细分领域知名品牌。智能装备攻坚突破。依托市机器人与智能装备研究院等平台，强化伺服电机、减速器、机器视觉等核心部件攻关。引进日韩及国内人工智能、智能装备高技术企业，发展特种服务机器人、自动化物流系统与数字孪生测试平台，打造面向东北亚的特色智能制造装备基地。</w:t>
      </w:r>
    </w:p>
    <w:p w14:paraId="11C18F91">
      <w:pPr>
        <w:pStyle w:val="2"/>
        <w:widowControl w:val="0"/>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四、新能源产业</w:t>
      </w:r>
    </w:p>
    <w:p w14:paraId="4BF225D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06064CC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紧扣“双碳”目标，锚定“海上风电引领、氢能示范、绿电赋能”主线，构建“新能源开发—装备制造—场景应用—绿电交易”全产业链闭环。到2030年，产业规模突破100亿元，打造胶东半岛绿色能源应用与装备创新示范区。</w:t>
      </w:r>
    </w:p>
    <w:p w14:paraId="3E4FF556">
      <w:pPr>
        <w:pStyle w:val="6"/>
        <w:keepNext w:val="0"/>
        <w:keepLines w:val="0"/>
        <w:pageBreakBefore w:val="0"/>
        <w:widowControl w:val="0"/>
        <w:kinsoku/>
        <w:wordWrap/>
        <w:overflowPunct w:val="0"/>
        <w:topLinePunct w:val="0"/>
        <w:autoSpaceDE/>
        <w:autoSpaceDN/>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207E0E91">
      <w:pPr>
        <w:pStyle w:val="6"/>
        <w:keepNext w:val="0"/>
        <w:keepLines w:val="0"/>
        <w:pageBreakBefore w:val="0"/>
        <w:widowControl w:val="0"/>
        <w:kinsoku/>
        <w:wordWrap/>
        <w:overflowPunct/>
        <w:topLinePunct w:val="0"/>
        <w:autoSpaceDE/>
        <w:autoSpaceDN/>
        <w:bidi w:val="0"/>
        <w:adjustRightInd/>
        <w:snapToGrid/>
        <w:spacing w:before="0" w:beforeLines="0" w:afterLines="0" w:line="560" w:lineRule="exact"/>
        <w:jc w:val="left"/>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海上风电规模化开发。深化“一中心两基地”布局，抢抓省级海风开发窗口期，推动N1、WH2等风场资源落地，实现“滚动开发、梯次并网”。发挥华能、中国电气等央企协同效应，强化叶片、塔筒、海缆及海工施工装备招引与本地配套。到2030年，海上风电装备制造规模达50亿元以上。</w:t>
      </w:r>
    </w:p>
    <w:p w14:paraId="342C4D8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氢能全产业链示范。构建“绿电制氢—安全储运—多元应用”体系，依托海上风电绿电探索碱性电解水/PEM制氢产业化。聚焦豪顿华压缩机、泓淋加氢枪、车载储氢碳纤维缠绕等关键环节，补齐储运基础设施。推动氢燃料电池在港口机械、通勤船舶、厂区物流等场景示范。到2030年，氢能产业规模达30亿元以上。</w:t>
      </w:r>
    </w:p>
    <w:p w14:paraId="0EEAA87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新型储能与绿电直连。依托山东高速储能、泓淋新能源产业园等载体，布局电化学储能、虚拟电厂与智能微电网组件。高标准打造2000亩“绿电直连”零碳产业园，探索区域绿电交易平台建设。到2030年，全区新型储能装机规模突破50万千瓦，重点出口企业基本实现绿电溯源，产业规模达20亿元以上。</w:t>
      </w:r>
    </w:p>
    <w:p w14:paraId="6F988D4F">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8" w:name="_Toc3613"/>
      <w:r>
        <w:rPr>
          <w:rFonts w:hint="default" w:ascii="Times New Roman" w:hAnsi="Times New Roman" w:cs="Times New Roman"/>
          <w:color w:val="auto"/>
          <w:lang w:val="en-US" w:eastAsia="zh-CN"/>
        </w:rPr>
        <w:t>第二节 提档升级“三大”现代服务业</w:t>
      </w:r>
      <w:bookmarkEnd w:id="8"/>
    </w:p>
    <w:p w14:paraId="70A52BF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高端引领、融合赋能、开放协同，推动生产性服务业向专业化和价值链高端延伸，促进生活性服务业向高品质和多样化升级。强化对韩特色服务贸易、港产城融合、精致城市消费场景构建，全面激活服务业对实体经济的赋能效应。到2030年，三大服务业增加值突破200亿元，年均增速10%以上。</w:t>
      </w:r>
    </w:p>
    <w:p w14:paraId="37A8DBEC">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一、航运物流产业</w:t>
      </w:r>
    </w:p>
    <w:p w14:paraId="25498D4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18AE24C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发挥“四港联动”枢纽优势，构建“通道+枢纽+网络+数字”的现代物流体系，打造东北亚区域性综合物流枢纽。到2030年，航运物流产业产值突破70亿元。</w:t>
      </w:r>
    </w:p>
    <w:p w14:paraId="0F0AA7F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049C69D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建设国际航运物流枢纽。深化“海陆空铁”多式联运体系，强化与仁川、釜山等东北亚港口合作，支持中外运、宏森等开通中日韩高速物流通道与对日快线。整合港口、货代、海关、铁路数据资源，建设智慧物流公共信息平台，推动货物追踪、运力匹配、通关申报一体化。力争到2030年，全区物流综合成本下降15%以上。</w:t>
      </w:r>
    </w:p>
    <w:p w14:paraId="211DDCC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打造全球鲜活水产品基地</w:t>
      </w:r>
      <w:r>
        <w:rPr>
          <w:rFonts w:hint="eastAsia" w:ascii="仿宋_GB2312" w:hAnsi="仿宋_GB2312" w:cs="仿宋_GB2312"/>
          <w:color w:val="auto"/>
          <w:lang w:val="en-US" w:eastAsia="zh-CN"/>
        </w:rPr>
        <w:t>核心区</w:t>
      </w:r>
      <w:r>
        <w:rPr>
          <w:rFonts w:hint="default" w:ascii="Times New Roman" w:hAnsi="Times New Roman" w:eastAsia="仿宋_GB2312" w:cs="Times New Roman"/>
          <w:color w:val="auto"/>
          <w:lang w:val="en-US" w:eastAsia="zh-CN"/>
        </w:rPr>
        <w:t>。依托临港冷链优势，构建“海外采购—港口暂养—冷链仓储—跨境分拨—终端销售”全链条。支持润泽冷链、冠和生鲜扩能升级，推广智能化循环水养殖与低温锁鲜技术。牵头制定跨境冷链物流、高端海鲜暂养等团体/地方标准，提升细分领域定价权与话语权。培育跨境电商生态集群。联动综保区发挥政策叠加优势，依托智慧谷、泛杰等载体，打造对韩跨境电商核心集聚区。引育头部平台区域结算中心、集货仓及海外仓运营主体，完善支付结算、财税合规、数字营销等配套服务。到2030年，引育年进出口额超亿元电商企业10家以上，全区海外仓数量突破5个。</w:t>
      </w:r>
    </w:p>
    <w:p w14:paraId="75ABB158">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二、康养文旅产业</w:t>
      </w:r>
    </w:p>
    <w:p w14:paraId="34AC885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680E953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海洋为基、康养为韵、消费为魂、乡村为趣”，主动融入威海“精致城市”全域旅游格局。到2030年，年接待游客数量力争突破1500万人次，文旅综合收入突破50亿元，入境游客占比提升至15%以上，建成国家级文旅消费集聚区2处、省级旅游休闲街区4处。</w:t>
      </w:r>
    </w:p>
    <w:p w14:paraId="2535BA9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7C3999C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打造国际滨海康养度假区。依托市级试验区规划，发挥广安城投等平台资源整合能力，推进泊于镇康养酒店集群、高品质疗休养基地建设。推出文旅消费券、跨境客源补贴等促消费举措，激活中高端康养旅游市场。</w:t>
      </w:r>
    </w:p>
    <w:p w14:paraId="06C6451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构建“立体玩海”与夜间经济融合带。依托海、滩、湾资源，推动海滨旅游从观光向深度体验转型。全业态运营711旅游综合体，落地东浦湾研学基地、水上运动中心等项目，打造8公里精品文旅海岸。同步融入夜间文旅消费场景，依托韩乐坊、T16等核心商圈，整合演艺、社交、亲子业态，引入沉浸式数字娱乐，培育“潮场景·夜消费”城市IP，形成“白昼看海、夜间体验”全天候消费闭环。</w:t>
      </w:r>
    </w:p>
    <w:p w14:paraId="4B67113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培育乡村微度假与农文旅融合精品。以水系、廊道为纽带串联历史文化村落与观光园区，加快无花果小镇等农业特色载体建设，布局田园综合体与精品民宿集群。因地制宜引入非遗手作、农事体验、惠民演艺等业态，推动“美丽环境”向“美丽经济”高效转化。</w:t>
      </w:r>
    </w:p>
    <w:p w14:paraId="0EBBB7EB">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三、软件与信息技术服务业</w:t>
      </w:r>
    </w:p>
    <w:p w14:paraId="5AAA38F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 xml:space="preserve">（一）发展思路与目标 </w:t>
      </w:r>
    </w:p>
    <w:p w14:paraId="355DA77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智慧谷服务贸易产业园为核心，锚定“数据要素×人工智能”双主线，推动产业从“企业聚集”向“生态引领”、从“算力搭建”向“场景变现”跨越，打造面向日韩的数字服务出口核心区。到2030年，产业规模达50亿元，年均增速10%以上。</w:t>
      </w:r>
    </w:p>
    <w:p w14:paraId="3EFE51C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674C42C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打造北方AI数据标注与训练基地。依托威森信息、海神机器人等，拓展图像、语音、多模态大模型训练数据集标注业务。精准对接百度智能云、海天瑞声等头部企业，构建“数据采集—清洗标注—模型微调—安全合规”服务链条。到2030年，汇聚上下游企业75家以上，数据服务营收突破20亿元。</w:t>
      </w:r>
    </w:p>
    <w:p w14:paraId="124628A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构建“智算+应用”协同生态。供给端加快中算智谷超算中心建设，联动运营商布局国际IDC与云手机服务平台，引入浪潮信息、西部数据完善算力硬件供应链。应用端聚焦自动驾驶、智慧医疗、金融科技等领域，开放政务、医疗、工业等场景。到2030年，智算领域企业超200家，引入或培育上市公司/头部企业5家以上，营收突破30亿元。</w:t>
      </w:r>
    </w:p>
    <w:p w14:paraId="4D955132">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9" w:name="_Toc13225"/>
      <w:r>
        <w:rPr>
          <w:rFonts w:hint="default" w:ascii="Times New Roman" w:hAnsi="Times New Roman" w:cs="Times New Roman"/>
          <w:color w:val="auto"/>
          <w:lang w:val="en-US" w:eastAsia="zh-CN"/>
        </w:rPr>
        <w:t>第三节 前瞻布局“两大”未来产业</w:t>
      </w:r>
      <w:bookmarkEnd w:id="9"/>
    </w:p>
    <w:p w14:paraId="0620011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技术路线多元化、应用场景先行化、商业模式可行化”，建立未来产业容错纠错、风险分担与耐心资本引导机制。深化与国家创投基金（深创投）合作，建设未来产业中试基地与概念验证中心，争创省级未来产业先导区。</w:t>
      </w:r>
    </w:p>
    <w:p w14:paraId="0424A1FC">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一、具身智能产业</w:t>
      </w:r>
    </w:p>
    <w:p w14:paraId="7469E45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2542801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以智能机器人、智能网联汽车为核心载体，推动人工智能与物理实体深度融合，构建“感知—决策—执行—反馈”一体化系统。到2030年，建成区域领先的具身智能创新应用示范基地。</w:t>
      </w:r>
    </w:p>
    <w:p w14:paraId="7F8BB2F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3B607F6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攻坚特种与服务机器人。支持海神科技升级“无人车+舰载无人机”立体巡检系统，拓展智慧港口、园区安防场景。鼓励华东数控、百圣源开发集成视觉与AI决策的工业协作机器人。推动威高七福、龙山湖社区开展康养陪护、康复理疗机器人规模化应用，打造“智慧康养”省级样板。</w:t>
      </w:r>
    </w:p>
    <w:p w14:paraId="0777198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突破智能网联汽车核心部件。主攻车载智能计算平台、固态激光雷达、线控底盘等关键环节。推动世一电子车载雷达量产装车，支持世高光研发新一代车载视觉系统。探索“无人换电+自动驾驶重卡”港口封闭场景试点。到2030年，实现2—3款核心传感器本地量产，培育1—2家国家级“小巨人”。</w:t>
      </w:r>
    </w:p>
    <w:p w14:paraId="1BE374A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夯实共性技术与算力底座。聚焦高精度光学传感、端侧大模型、人机交互技术，支持嘉瑞光电突破机器视觉光学集成。联动中算智谷提供具身智能专属算力，共建5个以上市级以上研发平台与联合实验室。</w:t>
      </w:r>
    </w:p>
    <w:p w14:paraId="6E4FB1C1">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二、生物制造产业</w:t>
      </w:r>
    </w:p>
    <w:p w14:paraId="2F9114D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（一）发展思路与目标</w:t>
      </w:r>
    </w:p>
    <w:p w14:paraId="279287F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依托海洋生物资源与医药产业基础，聚焦细胞与基因治疗（CGT）、合成生物两大赛道，构建“研发—中试—临床—产业化”全链条生态。到2030年，建成省级生物制造创新平台，形成特色产业集群。</w:t>
      </w:r>
    </w:p>
    <w:p w14:paraId="55FCF3F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（二）核心任务与举措</w:t>
      </w:r>
    </w:p>
    <w:p w14:paraId="7BC5125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攻坚细胞与基因治疗全链条。围绕CAR-T、干细胞疗法、基因编辑药物，支持哈迈科构建“采集—存储—制备—质控”一站式服务平台。推动华康拜尔突破间充质干细胞规模化培养技术，拓展抗衰老与靶向抗肿瘤应用。到2030年，培育3—5家CGT创新企业，推动1—2款产品进入临床阶段。</w:t>
      </w:r>
    </w:p>
    <w:p w14:paraId="535B100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做强合成生物与海洋高值化利用。聚焦生物基材料、海洋活性肽、工业酶制剂等方向，支持安然纳米向高附加值植物干细胞延伸。鼓励宇王集团、迪沙药业开发海洋功能糖、特医食品与生物原料，打造“海洋生物资源—合成生物平台—终端健康产品”转化高地。到2030年，建成省级合成生物创新平台1个，推动2—3个生物基产品实现规模化量产。</w:t>
      </w:r>
    </w:p>
    <w:p w14:paraId="566BD390">
      <w:pPr>
        <w:pStyle w:val="4"/>
        <w:kinsoku/>
        <w:bidi w:val="0"/>
        <w:spacing w:before="0" w:beforeLines="0" w:after="0" w:afterLines="0" w:line="560" w:lineRule="exact"/>
        <w:rPr>
          <w:rFonts w:hint="default" w:ascii="Times New Roman" w:hAnsi="Times New Roman" w:cs="Times New Roman"/>
          <w:color w:val="auto"/>
        </w:rPr>
      </w:pPr>
      <w:bookmarkStart w:id="10" w:name="_Toc8331"/>
      <w:bookmarkStart w:id="11" w:name="_Toc19394"/>
      <w:bookmarkStart w:id="12" w:name="_Toc25637"/>
      <w:bookmarkStart w:id="13" w:name="_Toc2078"/>
      <w:bookmarkStart w:id="14" w:name="_Toc32378"/>
      <w:bookmarkStart w:id="15" w:name="_Toc22592"/>
      <w:r>
        <w:rPr>
          <w:rFonts w:hint="default" w:ascii="Times New Roman" w:hAnsi="Times New Roman" w:cs="Times New Roman"/>
          <w:color w:val="auto"/>
        </w:rPr>
        <w:t>第四节深化产业协同融通发展</w:t>
      </w:r>
      <w:bookmarkEnd w:id="10"/>
    </w:p>
    <w:p w14:paraId="4C0CE7A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rPr>
        <w:t>提升现代服务业与先进制造业协同发展能级，以两业深度融合作为产业升级关键突破口，优化服务业高质量供给体系，加快构建适配区域产业转型的现代服务业新格局。坚持以制度创新破壁垒、要素保障强支撑、平台赋能聚动能，破除行业分割与产业边界制约，构建制造+服务+数字+金融多元融通、协同共进的产业发展新范式。到2030年，新增培育省级两业融合试点、生产性服务业领军企业10家以上，建成省级及以上工业设计中心3家、现代服务业集聚区2个。</w:t>
      </w:r>
    </w:p>
    <w:p w14:paraId="025E1C7A">
      <w:pPr>
        <w:pStyle w:val="2"/>
        <w:kinsoku/>
        <w:bidi w:val="0"/>
        <w:spacing w:before="0" w:beforeLines="0" w:after="0" w:afterLines="0" w:line="560" w:lineRule="exact"/>
        <w:rPr>
          <w:rFonts w:hint="default" w:ascii="Times New Roman" w:hAnsi="Times New Roman" w:cs="Times New Roman"/>
          <w:color w:val="auto"/>
        </w:rPr>
      </w:pPr>
      <w:r>
        <w:rPr>
          <w:rFonts w:hint="default" w:ascii="Times New Roman" w:hAnsi="Times New Roman" w:cs="Times New Roman"/>
          <w:color w:val="auto"/>
        </w:rPr>
        <w:t>一、推进两业深度融合发展</w:t>
      </w:r>
    </w:p>
    <w:p w14:paraId="0E5D214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推动先进制造业与现代服务业双向渗透、互促赋能。常态化开展两业融合示范创建行动，引导装备制造企业向产品+运维+金融一体化整体解决方案服务商转型，支持研发设计、检验检测、法律咨询等生产性服务业向制造前端、中端环节逆向延伸拓展。推广普及用户直连制造、柔性定制等新型生产服务模式，培育打造5个以上国家级、省级两业融合发展试点载体。</w:t>
      </w:r>
    </w:p>
    <w:p w14:paraId="1065FCA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深化科技、产业、金融三方同频共振、深度耦合，构建精准赋能新质生产力培育壮大的金融支撑体系。探索设立经开区新质生产力产业发展基金，引导撬动社会资本投向重点产业链、战略性新兴产业和未来产业领域。紧扣种子期、成长期、成熟期企业成长规律与差异化融资需求，分类制定精准信贷支持政策，组建科技+产业+金融复合型专业化服务专班，畅通金融服务实体经济渠道，提升科技金融、绿色金融精准滴灌、定向赋能实效，为产业迭代升级、企业创新发展注入持久金融动能。</w:t>
      </w:r>
    </w:p>
    <w:p w14:paraId="734169D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建强产业公共服务平台矩阵。整合集聚检验检测、技术转移、知识产权运营、中试熟化、创业孵化等优质资源，打造一站式、全链条产业综合服务枢纽。聚焦</w:t>
      </w:r>
      <w:r>
        <w:rPr>
          <w:rFonts w:hint="default" w:ascii="Times New Roman" w:hAnsi="Times New Roman" w:cs="Times New Roman"/>
          <w:color w:val="auto"/>
          <w:lang w:eastAsia="zh-CN"/>
        </w:rPr>
        <w:t>船舶与</w:t>
      </w:r>
      <w:r>
        <w:rPr>
          <w:rFonts w:hint="default" w:ascii="Times New Roman" w:hAnsi="Times New Roman" w:eastAsia="仿宋_GB2312" w:cs="Times New Roman"/>
          <w:color w:val="auto"/>
        </w:rPr>
        <w:t>船舶海工、新一代信息技术等主导产业，贯通检验—认证—标准制定全链条质量管控体系。高标准布局建设工业互联网平台与工业设计协同共享网络，推动高端设计资源跨行业、跨领域互联互通、开放共享。</w:t>
      </w:r>
    </w:p>
    <w:p w14:paraId="1E127E2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实施质量品牌与标准领航工程。深入推进质量强区建设，健全覆盖全产业链、全生命周期的质量追溯、品牌培育和市场推广体系。支持龙头企业牵头参与国际标准、国家标准、行业标准制修订，推动核心技术专利化、专利标准化、标准产业化。聚力培育一批高价值发明专利组合，打造若干省级及以上知名品牌和标杆产品。</w:t>
      </w:r>
    </w:p>
    <w:p w14:paraId="55F2BEFB">
      <w:pPr>
        <w:pStyle w:val="2"/>
        <w:kinsoku/>
        <w:bidi w:val="0"/>
        <w:spacing w:before="0" w:beforeLines="0" w:after="0" w:afterLines="0" w:line="560" w:lineRule="exact"/>
        <w:rPr>
          <w:rFonts w:hint="default" w:ascii="Times New Roman" w:hAnsi="Times New Roman" w:cs="Times New Roman"/>
          <w:color w:val="auto"/>
        </w:rPr>
      </w:pPr>
      <w:r>
        <w:rPr>
          <w:rFonts w:hint="default" w:ascii="Times New Roman" w:hAnsi="Times New Roman" w:cs="Times New Roman"/>
          <w:color w:val="auto"/>
        </w:rPr>
        <w:t>二、锻造具有经区特色的三大融合经济形态</w:t>
      </w:r>
    </w:p>
    <w:p w14:paraId="3D51B3F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立足国家战略布局和区域资源禀赋，把海洋经济、低空经济、数字经济作为跨产业跨界融合、培育新增长点、塑造发展新优势的核心抓手，坚持场景牵引、平台支撑、集群突破发展路径，系统培育特色融合经济新业态、新赛道。</w:t>
      </w:r>
    </w:p>
    <w:p w14:paraId="762110A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0" w:afterLines="0" w:line="560" w:lineRule="exact"/>
        <w:ind w:left="0" w:leftChars="0" w:firstLineChars="200"/>
        <w:jc w:val="both"/>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深耕做强海洋经济。锚定向海图强、港产城海统筹融合发展方向，聚力打造面向东北亚的现代海洋经济高质量发展示范区。依托青烟威世界级船舶与海工装备产业集群，推动高端船舶、深远海工程装备向智能化、绿色化、高端化迭代升级；深化</w:t>
      </w:r>
      <w:r>
        <w:rPr>
          <w:rFonts w:hint="default" w:ascii="Times New Roman" w:hAnsi="Times New Roman" w:cs="Times New Roman"/>
          <w:color w:val="auto"/>
          <w:lang w:eastAsia="zh-CN"/>
        </w:rPr>
        <w:t>“四港联动”</w:t>
      </w:r>
      <w:r>
        <w:rPr>
          <w:rFonts w:hint="default" w:ascii="Times New Roman" w:hAnsi="Times New Roman" w:eastAsia="仿宋_GB2312" w:cs="Times New Roman"/>
          <w:color w:val="auto"/>
        </w:rPr>
        <w:t>协同发展，布局建设跨境冷链物流枢纽，推动海洋渔业向深远海养殖、精深加工转型升级。高标准打造中韩海洋产业合作示范园区，挖掘释放海洋文旅、康养休闲发展潜力，前瞻布局海洋生物医药、海洋新材料等新兴领域。坚持链主企业引领、重大平台赋能，重点推进海洋高端装备总装基地、智慧海洋大数据平台等重大项目建设，到2030年实现海洋经济占比稳步提升、产业链整体能级跨越式跃升。</w:t>
      </w:r>
    </w:p>
    <w:p w14:paraId="1A21A35E">
      <w:pPr>
        <w:pStyle w:val="14"/>
        <w:keepNext w:val="0"/>
        <w:keepLines w:val="0"/>
        <w:pageBreakBefore w:val="0"/>
        <w:widowControl w:val="0"/>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培育壮大低空经济。遵循核心部件筑基、海空场景牵引、无人装备协同发展路径，依托经开区精密制造产业基础和近海空域独特优势，集中攻关大载重无人机、长航时VTOL航空器及核心动力系统关键技术。坚守安全发展底线、坚持应用场景先行，有序开放海上风电巡检、应急救援、海域立体巡防、低空文旅体验等特色应用场景，布局建设海陆空无人装备联合测试验证中心。科学规划低空起降站点网络，搭建智慧空管与低空智联平台，完善研发制造—测试验证—运营服务全产业链生态，力争到“十五五”末期建成全国知名、特色鲜明的低空+海洋融合应用示范高地。</w:t>
      </w:r>
    </w:p>
    <w:p w14:paraId="054E7184">
      <w:pPr>
        <w:pStyle w:val="14"/>
        <w:keepNext w:val="0"/>
        <w:keepLines w:val="0"/>
        <w:pageBreakBefore w:val="0"/>
        <w:widowControl w:val="0"/>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rPr>
        <w:t>赋能升级数字经济。抢抓人工智能赋能发展机遇，推进数据要素市场化配置改革，聚力打造港产城融合发展数字经济新高地。以</w:t>
      </w:r>
      <w:r>
        <w:rPr>
          <w:rFonts w:hint="default" w:ascii="Times New Roman" w:hAnsi="Times New Roman" w:cs="Times New Roman"/>
          <w:color w:val="auto"/>
          <w:lang w:eastAsia="zh-CN"/>
        </w:rPr>
        <w:t>智慧谷服务贸易产业园</w:t>
      </w:r>
      <w:r>
        <w:rPr>
          <w:rFonts w:hint="default" w:ascii="Times New Roman" w:hAnsi="Times New Roman" w:eastAsia="仿宋_GB2312" w:cs="Times New Roman"/>
          <w:color w:val="auto"/>
        </w:rPr>
        <w:t>为核心载体，强化模、芯、云、用协同联动，推动行业大模型在船舶研发设计、智能终端制造、跨境电商服务等场景规模化落地。健全全区数据资源统筹管理体系，探索构建中韩跨境数据流动合规机制与数据安全隔离体系，稳妥推进公共数据授权运营、企业数据资产合规入表。纵深推进制造业</w:t>
      </w:r>
      <w:r>
        <w:rPr>
          <w:rFonts w:hint="default" w:ascii="Times New Roman" w:hAnsi="Times New Roman" w:cs="Times New Roman"/>
          <w:color w:val="auto"/>
          <w:lang w:eastAsia="zh-CN"/>
        </w:rPr>
        <w:t>“智改数转网联”</w:t>
      </w:r>
      <w:r>
        <w:rPr>
          <w:rFonts w:hint="default" w:ascii="Times New Roman" w:hAnsi="Times New Roman" w:eastAsia="仿宋_GB2312" w:cs="Times New Roman"/>
          <w:color w:val="auto"/>
        </w:rPr>
        <w:t>，梯度培育省级智能工厂、数字化车间和数字领航企业。到2030年，实现数字经济核心产业增加值占GDP比重稳步提高，全面赋能实体经济提质增效、城市治理精细高效。</w:t>
      </w:r>
    </w:p>
    <w:p w14:paraId="242C5DAE">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p>
    <w:p w14:paraId="72472E1B">
      <w:pPr>
        <w:kinsoku/>
        <w:spacing w:beforeLines="0" w:afterLines="0" w:line="560" w:lineRule="exact"/>
        <w:rPr>
          <w:rFonts w:hint="default" w:ascii="Times New Roman" w:hAnsi="Times New Roman" w:eastAsia="仿宋_GB2312" w:cs="Times New Roman"/>
          <w:color w:val="auto"/>
        </w:rPr>
      </w:pPr>
      <w:r>
        <w:rPr>
          <w:rFonts w:hint="default" w:ascii="Times New Roman" w:hAnsi="Times New Roman" w:eastAsia="仿宋_GB2312" w:cs="Times New Roman"/>
          <w:color w:val="auto"/>
        </w:rPr>
        <w:br w:type="page"/>
      </w:r>
    </w:p>
    <w:p w14:paraId="19B59D70">
      <w:pPr>
        <w:pStyle w:val="3"/>
        <w:kinsoku/>
        <w:bidi w:val="0"/>
        <w:spacing w:before="0" w:beforeLines="0" w:after="0" w:afterLines="0" w:line="560" w:lineRule="exact"/>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en-US" w:eastAsia="zh-CN"/>
        </w:rPr>
        <w:t xml:space="preserve"> </w:t>
      </w:r>
      <w:bookmarkStart w:id="16" w:name="_Toc20867"/>
      <w:r>
        <w:rPr>
          <w:rFonts w:hint="default" w:ascii="Times New Roman" w:hAnsi="Times New Roman" w:cs="Times New Roman"/>
          <w:color w:val="auto"/>
          <w:sz w:val="32"/>
          <w:szCs w:val="32"/>
          <w:lang w:val="en-US" w:eastAsia="zh-CN"/>
        </w:rPr>
        <w:t xml:space="preserve">第三章 </w:t>
      </w:r>
      <w:r>
        <w:rPr>
          <w:rFonts w:hint="default" w:ascii="Times New Roman" w:hAnsi="Times New Roman" w:cs="Times New Roman"/>
          <w:color w:val="auto"/>
          <w:sz w:val="32"/>
          <w:szCs w:val="32"/>
        </w:rPr>
        <w:t>创新驱动强引擎 向新提质育动能</w:t>
      </w:r>
      <w:bookmarkEnd w:id="16"/>
    </w:p>
    <w:p w14:paraId="0F56BE34">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lang w:val="en-US" w:eastAsia="zh-CN"/>
        </w:rPr>
      </w:pPr>
    </w:p>
    <w:p w14:paraId="6673658A">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聚焦科技创新赋能，从科技产业协同、企业主体强化、科教人才融合、战略力量打造、数字转型提速五个关键维度精准发力，加快构建全过程创新生态链，让经开区成为新质生产力培育的策源地、集聚地和示范区，为区域高质量发展注入强劲创新动能。</w:t>
      </w:r>
      <w:bookmarkEnd w:id="11"/>
      <w:bookmarkEnd w:id="12"/>
      <w:bookmarkEnd w:id="13"/>
      <w:bookmarkEnd w:id="14"/>
      <w:bookmarkEnd w:id="15"/>
    </w:p>
    <w:p w14:paraId="6E12B304">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17" w:name="_Toc26419"/>
      <w:r>
        <w:rPr>
          <w:rFonts w:hint="default" w:ascii="Times New Roman" w:hAnsi="Times New Roman" w:cs="Times New Roman"/>
          <w:color w:val="auto"/>
          <w:lang w:val="en-US" w:eastAsia="zh-CN"/>
        </w:rPr>
        <w:t>第一节 推动科产创新深度融合</w:t>
      </w:r>
      <w:bookmarkEnd w:id="17"/>
    </w:p>
    <w:p w14:paraId="462A1171">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加快布局高能级科技研发载体。紧跟国家及省市科技基础设施布局，服务新质生产力发展，推动平台提档升级，支持骨干企业牵头实施重大创新平台项目，强化科技创新策源功能，筑牢高水平科技自立自强根基。构建协同创新平台，联合国内外高校院所共建新型研发机构，打通“基础研究—技术开发—成果转化”链条，夯实创新智力支撑。紧扣船舶与海工装备、新一代信息技术等重点领域，鼓励龙头企业牵头组建创新联盟，推动创新资源整合与关键技术攻关。重点推动天智创新技术研究院等四大平台转型发展，实现从科技研发向项目招商、企业孵化等功能转变。至2030年，省市级创新平台累计达到65家以上，累计引进科技型企业20家以上、科技人才120名以上，实现转化收益5亿元以上。</w:t>
      </w:r>
    </w:p>
    <w:p w14:paraId="7376BBE7">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扶持发展科技孵化育成平台。依托智慧谷、众科工业园等载体，打造高水平新型孵化平台，引进专业运营主体，构建适配经开区产业需求的创新孵化生态。鼓励孵化器参与创新创业大赛，精准引进优质项目与人才，常态化开展科技培训、技术对接等服务，激活区域创新活力。同时，强化企业创新主体地位，完善产学研融合创新体系，推动企业研发机构优化提升。重点推进乐家电子等企业创建重点实验室、招商工业威海船厂创建省级技术创新中心，加强联合创新体建设与博士后平台培育，每年每个博士后工作站进站1名以上博士。“十五五”期间，每年举办科技服务活动10场次以上、引进培育科技型企业100家以上。至2030年，力争新增博士后工作站（基地）10家、累计进站博士后30名以上。</w:t>
      </w:r>
    </w:p>
    <w:p w14:paraId="3440BD56">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积极打造国际科技合作平台。构建高水平科技开放合作新格局，营造具有全球竞争力的开放创新生态。重点支持中日韩创新合作中心威海基地建设，拓展中韩创新孵化联盟等平台窗口功能，积极参与中日科技创新合作大会、中韩创新大赛等国际性活动，吸引国际技术、人才、项目等创新要素集聚。优化高校、科研院所对外交流合作机制，主动牵头并参与国际大科学计划和大科学工程。持续推动智慧谷争创省级国际创新园，加大韩日合作力度，确保五年内落地韩日项目10个以上，不断提升区域科技开放合作水平。</w:t>
      </w:r>
    </w:p>
    <w:p w14:paraId="38F2BFAD">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18" w:name="_Toc15880"/>
      <w:r>
        <w:rPr>
          <w:rFonts w:hint="default" w:ascii="Times New Roman" w:hAnsi="Times New Roman" w:cs="Times New Roman"/>
          <w:color w:val="auto"/>
          <w:lang w:val="en-US" w:eastAsia="zh-CN"/>
        </w:rPr>
        <w:t>第二节 巩固企业创新主体地位</w:t>
      </w:r>
      <w:bookmarkEnd w:id="18"/>
    </w:p>
    <w:p w14:paraId="7AC480DD">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强化企业创新核心支撑。推动创新资源向企业集聚，提升企业创新核心地位，支持企业参与重大科技创新决策、承担国家科技攻关任务，赋予牵头企业更大自主权。优先支持骨干企业建设创新平台，开放科研数据与人才计划，完善人才流动政策。至2030年，实现科技强区建设新突破，建成创新“高地”与人才“洼地”；规上企业研发经费投入占GDP比重保持2.8%左右，五年累计争取上级科技扶持资金1亿元以上。</w:t>
      </w:r>
    </w:p>
    <w:p w14:paraId="12CA2892">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培优育强创新主体。坚持企业主导、需求导向，推动产学研融合，支持骨干企业牵头组建创新联合体，开展关键技术攻关与成果转化。深化职务科技成果赋权改革，推动成果向中小微企业转化，构建大中小企业融通创新生态。优化科技企业培育链条，打造创新梯队，全区国家科技型中小企业备案保持650家、高新技术企业保持350家，高新技术产业产值占比75%以上，五年累计获胜省中小微企业创新竞技行动计划企业15家以上。</w:t>
      </w:r>
    </w:p>
    <w:p w14:paraId="43F96EE9">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强化科技金融赋能。强化普惠性政策供给，提高企业研发费用加计扣除比例，建立研发准备金制度。构建适配科技创新的科技金融体系，支持企业上市融资、发展创业投资。建立科技企业融资需求库，发挥风险补偿资金作用，实施科技股权投资，每年推荐4家以上企业申报省科技股权投资项目，举办4场次以上银企对接活动，促成100家以上企业获得4亿元以上科技成果转化贷款。</w:t>
      </w:r>
    </w:p>
    <w:p w14:paraId="32418F51">
      <w:pPr>
        <w:pStyle w:val="4"/>
        <w:widowControl w:val="0"/>
        <w:kinsoku/>
        <w:bidi w:val="0"/>
        <w:spacing w:before="0" w:beforeLines="0" w:after="0" w:afterLines="0" w:line="560" w:lineRule="exact"/>
        <w:rPr>
          <w:rFonts w:hint="default" w:ascii="Times New Roman" w:hAnsi="Times New Roman" w:cs="Times New Roman"/>
          <w:color w:val="auto"/>
          <w:lang w:val="en-US" w:eastAsia="zh-CN"/>
        </w:rPr>
      </w:pPr>
      <w:bookmarkStart w:id="19" w:name="_Toc31944"/>
      <w:r>
        <w:rPr>
          <w:rFonts w:hint="default" w:ascii="Times New Roman" w:hAnsi="Times New Roman" w:cs="Times New Roman"/>
          <w:color w:val="auto"/>
          <w:lang w:val="en-US" w:eastAsia="zh-CN"/>
        </w:rPr>
        <w:t>第三节 统筹教科人产一体化发展</w:t>
      </w:r>
      <w:bookmarkEnd w:id="19"/>
    </w:p>
    <w:p w14:paraId="789E312E">
      <w:pPr>
        <w:pStyle w:val="14"/>
        <w:keepNext w:val="0"/>
        <w:keepLines w:val="0"/>
        <w:pageBreakBefore w:val="0"/>
        <w:widowControl w:val="0"/>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健全人才引育机制。将教育、科技、人才、产业一体推进作为创新型经济建设核心任务，健全统筹实施机制，强化四者协同发力。联动山大、哈工大等区外高校，推动以上创新平台协同发力，每年开展校地合作不少于8场次，补齐本地教育科技资源短板。建立教育科技人才统筹管理机制，加快建设50人以上高水平战略人才队伍，优化队伍结构、完善流动机制，为高质量发展提供全方位人才智力保障。</w:t>
      </w:r>
    </w:p>
    <w:p w14:paraId="5AAF9654">
      <w:pPr>
        <w:pStyle w:val="14"/>
        <w:keepNext w:val="0"/>
        <w:keepLines w:val="0"/>
        <w:pageBreakBefore w:val="0"/>
        <w:widowControl/>
        <w:kinsoku/>
        <w:wordWrap/>
        <w:overflowPunct/>
        <w:topLinePunct w:val="0"/>
        <w:autoSpaceDE w:val="0"/>
        <w:autoSpaceDN w:val="0"/>
        <w:bidi w:val="0"/>
        <w:adjustRightInd w:val="0"/>
        <w:snapToGrid w:val="0"/>
        <w:spacing w:before="0" w:beforeLines="0" w:after="0" w:line="560" w:lineRule="exact"/>
        <w:ind w:left="0" w:leftChars="0" w:firstLine="640" w:firstLineChars="200"/>
        <w:textAlignment w:val="baseline"/>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加快培植战略人才力量。深度对接“泰山计划”“齐鲁英才”计划，聚焦产业需求靶向引育战略科学家、科技领军人才、优秀青年人才、卓越工程师和高技能人才、创新型企业家和经营管理人才、公共服务人才“六支人才队伍”，锻造能力过硬、素质优良、结构合理、富有创新精神的高水平人才梯队。围绕产业需求，每年举办中韩创新大赛等交流活动不少于4场次；在海内外20家以上机构遴选30人以上引才服务专员；支持企业在创新集聚地区建立“人才飞地”，构建灵活高效的引才模式。五年内，力争组建“人才飞地”3家以上，申报国家级重点人才工程15人、省级25人。加强技能培训，每年培训不少于2000人次、举办职业技能竞赛1次</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参与不少于500人，开展乡村振兴特色培训不少于12场次</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覆盖不少于800人次。畅通青年人才招聘渠道，每年组织校企对接会不少于6场次、推介50家以上企业及2000个以上岗位。</w:t>
      </w:r>
    </w:p>
    <w:p w14:paraId="39D5E3B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优化科技人才就业创业发展环境。深入推进“经智兴经”行动，精准布局创新创业基地，打造大学生留经来经创新创业高地，通过“载体支撑+服务保障”双措并举，吸引集聚海内外优秀人才带技术、带项目落地发展。落实人才激励政策，健全以创新价值、能力、贡献为核心导向的科技人才评价体系，完善以增加知识价值为导向的分配制度。建设青年友好型生态环境，强化职称评定、公共服务等保障，让经区成为各类人才安居乐业的最佳栖息地。推进校院企高层次人才“互聘共用”，打通高校、科研院所和企业间的人才交流通道，促进人才跨领域流动、跨平台协作，全面激发创新创造活力。“十五五”期间，年均引进大专以上学历青年人才1500人、新增各类技能人才2000人以上。</w:t>
      </w:r>
    </w:p>
    <w:p w14:paraId="1E8E020F">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0" w:name="_Toc5630"/>
      <w:r>
        <w:rPr>
          <w:rFonts w:hint="default" w:ascii="Times New Roman" w:hAnsi="Times New Roman" w:cs="Times New Roman"/>
          <w:color w:val="auto"/>
          <w:lang w:val="en-US" w:eastAsia="zh-CN"/>
        </w:rPr>
        <w:t>第四节 优化全域科技创新生态</w:t>
      </w:r>
      <w:bookmarkEnd w:id="20"/>
    </w:p>
    <w:p w14:paraId="6E480E0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聚焦重点领域关键核心技术攻关。围绕关键基础材料、核心零部件、先进工艺等“卡脖子”领域，着力强化制造领域原创性引领性科技攻关、颠覆性技术创新和关键核心技术突破，滚动编制关键核心技术攻关清单，实施一批重大科技项目，采用“揭榜挂帅”“赛马制”、定向委托等方式，全面精准开展技术攻关，“十五五”期间，力争每年开展产学研对接活动5场以上，实施对上争取校企合作科技项目5项以上，达成产学研合作协议20项以上，推动技术、工艺、设备、产品的“链式”突破与迭代，形成一批创新性技术和重大标志性成果。打通科技成果转化卡点堵点。坚持以科技创新推动现代产业体系建设，推行“有组织科研+有组织成果转化”，引导天智创新技术研究院、中船集团716所威海研发中心、北京大学威海海洋研究院、中国地质大学威海研究院重塑发展优势，实现功能重心由单一科技研发，向项目招商、企业孵化、技术转移一体化服务转型，切实达成“搭建一个平台、引育一批项目、赋能一批企业”的发展目标。整合科研资源聚焦产业关键需求，建设经区技术转移转化中心，针对性布局概念验证平台、中试验证基地、检验检测中心等关键服务节点，形成“孵化—加速—产业化”全链条支撑体系，为科技成果落地提供“一站式”保障。</w:t>
      </w:r>
    </w:p>
    <w:p w14:paraId="0D869BF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强化金融资本在科技创新与企业衍生成长过程中的赋能支撑作用。建立科技型中小企业融资需求库，定期向金融机构推送融资需求信息，提高金融机构服务精准度。发挥省科技成果转化贷款风险补偿资金作用，引导银行机构定制化推送科技金融产品，推动和撬动省级财政科技股权投资和区内天使基金等各类资本向科技成果转化、科技型企业培育等领域和方向聚集发力。建立量化攻坚目标，每年推荐4家以上企业申报省科技股权投资项目，举办银企对接、科技金融路演等活动4场次以上；到2030年底，促成100家以上科技型企业获得科技成果转化贷款，总额达4亿元以上。</w:t>
      </w:r>
    </w:p>
    <w:p w14:paraId="3738038C">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1" w:name="_Toc11369"/>
      <w:r>
        <w:rPr>
          <w:rFonts w:hint="default" w:ascii="Times New Roman" w:hAnsi="Times New Roman" w:cs="Times New Roman"/>
          <w:color w:val="auto"/>
          <w:lang w:val="en-US" w:eastAsia="zh-CN"/>
        </w:rPr>
        <w:t>第五节 提速数字经开区建设</w:t>
      </w:r>
      <w:bookmarkEnd w:id="21"/>
    </w:p>
    <w:p w14:paraId="128D181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做强数字经济核心产业。积极推进数字产业集群化、链条化发展，打造高水平数字园区和特色数字经济板块。持续优化数字产业布局，做强企业发展主体引擎，聚焦集成电路、数字终端、新型电子元器件等领域，打造一批省级数字产业先锋企业和“基础型”“成长型”“领军型”数字经济企业，带动产业升级。支持天智研究院、乐家电子等本地发展良好的数字产业</w:t>
      </w:r>
      <w:r>
        <w:rPr>
          <w:rFonts w:hint="default" w:ascii="Times New Roman" w:hAnsi="Times New Roman" w:cs="Times New Roman"/>
          <w:color w:val="auto"/>
          <w:lang w:val="en-US" w:eastAsia="zh-CN"/>
        </w:rPr>
        <w:t>企业“走出去”</w:t>
      </w:r>
      <w:r>
        <w:rPr>
          <w:rFonts w:hint="default" w:ascii="Times New Roman" w:hAnsi="Times New Roman" w:eastAsia="仿宋_GB2312" w:cs="Times New Roman"/>
          <w:color w:val="auto"/>
          <w:lang w:val="en-US" w:eastAsia="zh-CN"/>
        </w:rPr>
        <w:t>，形成总部经济效应。加力提质数字产业园区，依托智慧谷数据产业园区，加快布局虚拟现实、人工智能等特色产业，探索遴选一批拥有突破性、颠覆性、前沿性、引领性技术的“未来之星”企业，进行重点跟踪扶持，打造全市数字经济高质量发展策源地，到2030年，全区数字经济核心产业增加值占地区生产总值比重达到10%以上。</w:t>
      </w:r>
    </w:p>
    <w:p w14:paraId="6C4FC4E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强化数字技术赋能增效。大力推进产业数字化转型，加速赋能实体经济发展。围绕船舶与海工装备、现代轻纺服装等优势产业链，持续推广“产业大脑+晨星工厂”发展模式，支持招商船厂、海马地毯等龙头企业建设“产业大脑”，提升行业智能决策和产业链服务能力。开展“晨星工厂”突破行动，推广数据建模、数字孪生、工业元宇宙等创新应用，助力提升“产业大脑”赋能深度。坚持“点、线、面”协同，加快规上工业企业、专精特新中小企业数字化转型全覆盖。到2030年底，打造2个省级数字经济“产业大脑”，数字经济“晨星工厂”突破50家。大力实施“人工智能+制造”行动，加强行业大模型研发布局和重点场景应用，引导企业聚焦工业研发、设计、生产等关键环节和特定场景，做好数据采集、合成、治理等数据处理过程，鼓励龙头企业加强资源整合，形成一批行业级大模型产品。到2030年，培育人工智能大模型产品2个以上，大模型典型应用场景超过10个。</w:t>
      </w:r>
    </w:p>
    <w:p w14:paraId="4B3D768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持续优化数字生态。系统布局数字基础设施建设，完善“双千兆”网络建设，推进万兆光网部署，保障核心产业园区、工业集聚区及重点应用区域的信号优质覆盖，持续推进5G网络演进升级，探索5G-A、6G、卫星互联网等新技术应用。到2030年，全区5G基站数量突破2000座，带动5G+应用场景在社会管理、经济发展、文化和生态文明建设等各方面广泛应用，打造智慧谷服务贸易产业园、广安智能制造产业园等2个“万兆+人工智能（AI）”试点园区。加快推进数据要素市场化配置改革，纵深推进“数据要素×”行动，构建算力、算法、数据协同的产业赋能平台，加快时空信息汇聚、治理与应用，推动低空经济、智能网联汽车等重点领域发展壮大。加强数字社会、数字政府建设，提升公共服务、政务服务、社会治理等数字化智能化水平，打造数字政府标杆城市。建立覆盖数据安全全生命周期的安全管理体系，强化安全技术防护与制度保障，守护数据安全底线。加强平台企业监管，推动平台经济创新和健康发展。</w:t>
      </w:r>
    </w:p>
    <w:p w14:paraId="1394FE1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45AAAC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0CBE3CD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4E6061D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33EC388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20E26E4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D8B435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0AE45E7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4E59D18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2B2703B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4A51039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7A0F2B5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6013A79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CD0659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149B05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368A4495">
      <w:pPr>
        <w:pStyle w:val="6"/>
        <w:pageBreakBefore w:val="0"/>
        <w:widowControl w:val="0"/>
        <w:numPr>
          <w:ilvl w:val="0"/>
          <w:numId w:val="0"/>
        </w:numPr>
        <w:kinsoku/>
        <w:wordWrap/>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sz w:val="32"/>
          <w:szCs w:val="32"/>
          <w:lang w:val="en-US" w:eastAsia="zh-CN"/>
        </w:rPr>
      </w:pPr>
    </w:p>
    <w:p w14:paraId="719F083C">
      <w:pPr>
        <w:kinsoku/>
        <w:spacing w:beforeLines="0" w:afterLines="0" w:line="560" w:lineRule="exact"/>
        <w:rPr>
          <w:rFonts w:hint="default" w:ascii="Times New Roman" w:hAnsi="Times New Roman" w:eastAsia="仿宋_GB2312" w:cs="Times New Roman"/>
          <w:color w:val="auto"/>
          <w:sz w:val="32"/>
          <w:szCs w:val="32"/>
          <w:lang w:val="en-US" w:eastAsia="zh-CN"/>
        </w:rPr>
      </w:pPr>
    </w:p>
    <w:p w14:paraId="7D987929">
      <w:pPr>
        <w:pStyle w:val="3"/>
        <w:kinsoku/>
        <w:bidi w:val="0"/>
        <w:spacing w:before="0" w:beforeLines="0" w:after="0" w:afterLines="0" w:line="560" w:lineRule="exact"/>
        <w:ind w:left="0" w:leftChars="0" w:firstLine="0" w:firstLineChars="0"/>
        <w:jc w:val="center"/>
        <w:rPr>
          <w:rFonts w:hint="default" w:ascii="Times New Roman" w:hAnsi="Times New Roman" w:cs="Times New Roman"/>
          <w:color w:val="auto"/>
          <w:sz w:val="32"/>
          <w:szCs w:val="32"/>
          <w:lang w:eastAsia="zh-CN"/>
        </w:rPr>
      </w:pPr>
      <w:bookmarkStart w:id="22" w:name="_Toc23469"/>
      <w:r>
        <w:rPr>
          <w:rFonts w:hint="default" w:ascii="Times New Roman" w:hAnsi="Times New Roman" w:cs="Times New Roman"/>
          <w:color w:val="auto"/>
          <w:sz w:val="32"/>
          <w:szCs w:val="32"/>
          <w:lang w:val="en-US" w:eastAsia="zh-CN"/>
        </w:rPr>
        <w:t xml:space="preserve">第四章 </w:t>
      </w:r>
      <w:r>
        <w:rPr>
          <w:rFonts w:hint="default" w:ascii="Times New Roman" w:hAnsi="Times New Roman" w:cs="Times New Roman"/>
          <w:color w:val="auto"/>
          <w:sz w:val="32"/>
          <w:szCs w:val="32"/>
        </w:rPr>
        <w:t>深挖内需稳基本 融通内外促循环</w:t>
      </w:r>
      <w:bookmarkEnd w:id="22"/>
    </w:p>
    <w:p w14:paraId="6BB6743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075448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牢牢把握扩大内需战略基点，坚持惠民生和促消费深度融合，投资于物和投资于人紧密结合，以新需求引领新供给，以新供给创造新需求，推动消费与投资协同共进，供给与需求良性循环，积极</w:t>
      </w:r>
      <w:r>
        <w:rPr>
          <w:rFonts w:hint="default" w:ascii="Times New Roman" w:hAnsi="Times New Roman" w:cs="Times New Roman"/>
          <w:color w:val="auto"/>
          <w:lang w:val="en-US" w:eastAsia="zh-CN"/>
        </w:rPr>
        <w:t>融入服务全国统一大市场</w:t>
      </w:r>
      <w:r>
        <w:rPr>
          <w:rFonts w:hint="default" w:ascii="Times New Roman" w:hAnsi="Times New Roman" w:eastAsia="仿宋_GB2312" w:cs="Times New Roman"/>
          <w:color w:val="auto"/>
          <w:lang w:val="en-US" w:eastAsia="zh-CN"/>
        </w:rPr>
        <w:t>，持续增强内需对经济发展的支撑作用。</w:t>
      </w:r>
    </w:p>
    <w:p w14:paraId="212A1F47">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3" w:name="_Toc27716"/>
      <w:r>
        <w:rPr>
          <w:rFonts w:hint="default" w:ascii="Times New Roman" w:hAnsi="Times New Roman" w:cs="Times New Roman"/>
          <w:color w:val="auto"/>
          <w:lang w:val="en-US" w:eastAsia="zh-CN"/>
        </w:rPr>
        <w:t>第一节 多措并举提振消费潜力</w:t>
      </w:r>
      <w:bookmarkEnd w:id="23"/>
    </w:p>
    <w:p w14:paraId="1CCBCB2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实物消费和服务消费并重，新型消费和传统消费并举，积极扩大消费需求，支持新型消费方式，营造良好消费环境，不断增强消费对经济增长的拉动作用。到2030年，社会消费品零售总额突破300亿元，年均增长</w:t>
      </w:r>
      <w:r>
        <w:rPr>
          <w:rFonts w:hint="eastAsia" w:ascii="Times New Roman" w:hAnsi="Times New Roman" w:cs="Times New Roman"/>
          <w:color w:val="auto"/>
          <w:lang w:val="en-US" w:eastAsia="zh-CN"/>
        </w:rPr>
        <w:t>5</w:t>
      </w:r>
      <w:r>
        <w:rPr>
          <w:rFonts w:hint="default" w:ascii="Times New Roman" w:hAnsi="Times New Roman" w:eastAsia="仿宋_GB2312" w:cs="Times New Roman"/>
          <w:color w:val="auto"/>
          <w:lang w:val="en-US" w:eastAsia="zh-CN"/>
        </w:rPr>
        <w:t>%。</w:t>
      </w:r>
    </w:p>
    <w:p w14:paraId="3BABB40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积极扩大消费需求。深入实施提振消费专项行动，统筹促就业、增收入、稳预期，加大直达消费者的普惠政策力度，持续增强城乡居民消费能力，提振住房、汽车、家电等大宗消费。扎实推进消费品“以旧换新”，深入实施消费工业品“增品种、提品质、创品牌”行动，打造经开区消费名品矩阵。持续扩大服务消费，推动基础型生活服务品质提升，着力优化“一线三湾三圈”及特色小镇旅游发展布局，促进大健康、新文旅、泛娱乐等改善性生活服务扩量提效，打造一批特色强、人气旺、新业态、新模式集聚的消费载体，持续擦亮韩乐坊“国家级夜间文旅消费集聚区”金字招牌，做强特色文旅IP，增加优质特色运动项目与体育赛事供给持续拓展。到2030年，全区社会消费品零售总额达到300亿元，年均增长5%以上；批发、零售、住宿、餐饮行业年均分别增长6%、6%、8%、8%，规上贸易业企业达到400家以上。</w:t>
      </w:r>
    </w:p>
    <w:p w14:paraId="33A666C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支持新型消费方式。以“商旅文体健”深度融合为抓手，充分激活“吃、住、行、游、娱、购”等基础消费潜力，持续释放改善型消费活力。支持经开区举办骑行、马拉松、帆船、龙舟等赛事活动，打造海洋文化、医美康养、乡村旅游等精品活动，不断拓展“旅游+”“美食+”“体育+”“演艺+”“冰雪+”“零售+”等融合消费新场景、新增长点。大力发展首店经济、夜间经济、节会经济、假日经济、国潮经济、悦己经济、银发经济、甜蜜经济、它经济等新业态，培育一批辐射带动强、品牌辨识度高的消费地标。到2030年，累计引进各类首店、旗舰店60家以上，年均举办具有区域影响力的新品首发、品牌快闪、时尚秀场活动10场以上；打造市级以上直播电商基地或产业园区3个，推动区内限上商贸企业电商应用率提升至90%以上。</w:t>
      </w:r>
    </w:p>
    <w:p w14:paraId="424ABBD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系统性夯实消费增长基础。建立动态精准的优质潜力企业培育库，常态化做好优质企业筛查。到2030年，累计筛选并动态维护重点培育企业400家以上，具有规模成长潜力的优质企业100家以上。实施全周期精准服务与重点攻坚行动，确保对培育库企业年度走访覆盖率达到100%，问题响应解决率超过90%；到2030年，餐饮领域新增纳统企业60家以上，黄金珠宝、高端汽车、品牌连锁等高产业态领域纳统企业30家以上。深度挖掘润泽、经发控股等产业园区内批零融合潜力，确保所有消费场景和新兴业态中产生的合规零售额应统尽统、颗粒归仓，转化为我区社零总额5%以上的增长动能。</w:t>
      </w:r>
    </w:p>
    <w:p w14:paraId="639099B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营造良好消费环境。坚持监管和服务并重，构建安全、便捷、公平、诚信的消费生态。完善经开区商业体系建设，推动传统商圈向生态化、智能化、服务化升级，优化城乡社区商业网点布局，推进“一刻钟便民生活圈”建设，畅通12345投诉举报渠道，健全消费维权保障机制，积极指导理性消费，绿色消费理念，营造“企业守信经营，群众放心消费”社会氛围，增强消费者获得感与安全感。到2030年，确保消费者投诉办结率保持在99%以上。</w:t>
      </w:r>
    </w:p>
    <w:p w14:paraId="5D91F436">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val="0"/>
        <w:topLinePunct w:val="0"/>
        <w:autoSpaceDE w:val="0"/>
        <w:autoSpaceDN w:val="0"/>
        <w:bidi w:val="0"/>
        <w:adjustRightInd w:val="0"/>
        <w:snapToGrid w:val="0"/>
        <w:spacing w:before="0" w:beforeLines="0" w:afterLines="0" w:line="560" w:lineRule="exact"/>
        <w:ind w:left="0" w:leftChars="0" w:firstLine="0" w:firstLineChars="0"/>
        <w:jc w:val="center"/>
        <w:textAlignment w:val="baseline"/>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专栏</w:t>
      </w:r>
      <w:r>
        <w:rPr>
          <w:rFonts w:hint="default" w:ascii="Times New Roman" w:hAnsi="Times New Roman" w:cs="Times New Roman"/>
          <w:color w:val="auto"/>
          <w:sz w:val="28"/>
          <w:szCs w:val="28"/>
          <w:lang w:val="en-US" w:eastAsia="zh-CN"/>
        </w:rPr>
        <w:t>1</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lang w:eastAsia="zh-CN"/>
        </w:rPr>
        <w:t>高品质消费</w:t>
      </w:r>
      <w:r>
        <w:rPr>
          <w:rFonts w:hint="default" w:ascii="Times New Roman" w:hAnsi="Times New Roman" w:eastAsia="仿宋_GB2312" w:cs="Times New Roman"/>
          <w:color w:val="auto"/>
          <w:sz w:val="28"/>
          <w:szCs w:val="28"/>
          <w:lang w:val="en-US" w:eastAsia="zh-CN"/>
        </w:rPr>
        <w:t>发展目标</w:t>
      </w:r>
    </w:p>
    <w:p w14:paraId="094724A1">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val="0"/>
        <w:topLinePunct w:val="0"/>
        <w:autoSpaceDE w:val="0"/>
        <w:autoSpaceDN w:val="0"/>
        <w:bidi w:val="0"/>
        <w:adjustRightInd w:val="0"/>
        <w:snapToGrid w:val="0"/>
        <w:spacing w:before="0" w:beforeLines="0" w:afterLines="0" w:line="560" w:lineRule="exact"/>
        <w:ind w:left="0" w:leftChars="0" w:firstLine="560" w:firstLineChars="200"/>
        <w:jc w:val="both"/>
        <w:textAlignment w:val="baseline"/>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lang w:eastAsia="zh-CN"/>
        </w:rPr>
        <w:t>提质升级韩乐坊国家级夜间文旅消费集聚区业态，年均举办中韩主题文化、消费活动不少于50场，直接拉动街区商户客流量与销售额年均增长10%以上。支持智慧谷T16艺文活力街区引入先锋艺术、独立设计等特色业态，力争“十五五”末，新增艺文类、创意零售类店铺30家以上，每年举办引流型展览、沙龙等活动超20场，打造吸引特定消费人群、提升商圈附加值的关键板块。系统打造61.4公里滨海消费走廊，力争“十五五”末，新增海上运动、沙滩娱乐、滨海市集等消费节点不少于10处，推动逍遥湖、东浦湾等区域发展“微度假”业态，新增精品民宿、主题营地等项目15个以上，丰富过夜游与深度游供给。全面推广“长峰邻里”服务模式，力争“十五五”末，全区建成功能完善的“15分钟便民生活圈”示范社区不少于15个，健全社区商业零售与生活服务功能，夯实民生消费基本盘。在核心商圈落地AR导览等数字互动项目不少于5个，支持智慧谷数字文化产业园区引进培育数字文旅企业10家以上，以新技术、新体验赋能传统商业空间。</w:t>
      </w:r>
    </w:p>
    <w:p w14:paraId="4D3D3777">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4" w:name="_Toc15754"/>
      <w:r>
        <w:rPr>
          <w:rFonts w:hint="default" w:ascii="Times New Roman" w:hAnsi="Times New Roman" w:cs="Times New Roman"/>
          <w:color w:val="auto"/>
          <w:lang w:val="en-US" w:eastAsia="zh-CN"/>
        </w:rPr>
        <w:t>第二节 精准发力扩大有效投资</w:t>
      </w:r>
      <w:bookmarkEnd w:id="24"/>
    </w:p>
    <w:p w14:paraId="4CBC660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坚持投资于物和投资于人紧密结合，优化投资结构，拓展投资空间，激发民间投资活力，深化投资体制机制改革，保持投资合理增长，不断提高投资质量和效益，筑牢经开区经济社会发展根基。</w:t>
      </w:r>
    </w:p>
    <w:p w14:paraId="68F3AA9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加大关键领域和薄弱环节投资力度。聚焦</w:t>
      </w:r>
      <w:r>
        <w:rPr>
          <w:rFonts w:hint="default" w:ascii="Times New Roman" w:hAnsi="Times New Roman" w:eastAsia="仿宋_GB2312" w:cs="Times New Roman"/>
          <w:color w:val="auto"/>
          <w:lang w:val="en-US" w:eastAsia="en-US"/>
        </w:rPr>
        <w:t>新质</w:t>
      </w:r>
      <w:r>
        <w:rPr>
          <w:rFonts w:hint="default" w:ascii="Times New Roman" w:hAnsi="Times New Roman" w:eastAsia="仿宋_GB2312" w:cs="Times New Roman"/>
          <w:color w:val="auto"/>
          <w:lang w:val="en-US" w:eastAsia="zh-CN"/>
        </w:rPr>
        <w:t>生产力发展</w:t>
      </w:r>
      <w:r>
        <w:rPr>
          <w:rFonts w:hint="default" w:ascii="Times New Roman" w:hAnsi="Times New Roman" w:eastAsia="仿宋_GB2312" w:cs="Times New Roman"/>
          <w:color w:val="auto"/>
          <w:lang w:val="en-US" w:eastAsia="en-US"/>
        </w:rPr>
        <w:t>、开放</w:t>
      </w:r>
      <w:r>
        <w:rPr>
          <w:rFonts w:hint="default" w:ascii="Times New Roman" w:hAnsi="Times New Roman" w:eastAsia="仿宋_GB2312" w:cs="Times New Roman"/>
          <w:color w:val="auto"/>
          <w:lang w:val="en-US" w:eastAsia="zh-CN"/>
        </w:rPr>
        <w:t>协调发展</w:t>
      </w:r>
      <w:r>
        <w:rPr>
          <w:rFonts w:hint="default" w:ascii="Times New Roman" w:hAnsi="Times New Roman" w:eastAsia="仿宋_GB2312" w:cs="Times New Roman"/>
          <w:color w:val="auto"/>
          <w:lang w:val="en-US" w:eastAsia="en-US"/>
        </w:rPr>
        <w:t>、低碳绿色</w:t>
      </w:r>
      <w:r>
        <w:rPr>
          <w:rFonts w:hint="default" w:ascii="Times New Roman" w:hAnsi="Times New Roman" w:eastAsia="仿宋_GB2312" w:cs="Times New Roman"/>
          <w:color w:val="auto"/>
          <w:lang w:val="en-US" w:eastAsia="zh-CN"/>
        </w:rPr>
        <w:t>发展</w:t>
      </w:r>
      <w:r>
        <w:rPr>
          <w:rFonts w:hint="default" w:ascii="Times New Roman" w:hAnsi="Times New Roman" w:eastAsia="仿宋_GB2312" w:cs="Times New Roman"/>
          <w:color w:val="auto"/>
          <w:lang w:val="en-US" w:eastAsia="en-US"/>
        </w:rPr>
        <w:t>及精致</w:t>
      </w:r>
      <w:r>
        <w:rPr>
          <w:rFonts w:hint="default" w:ascii="Times New Roman" w:hAnsi="Times New Roman" w:eastAsia="仿宋_GB2312" w:cs="Times New Roman"/>
          <w:color w:val="auto"/>
          <w:lang w:val="en-US" w:eastAsia="zh-CN"/>
        </w:rPr>
        <w:t>城乡</w:t>
      </w:r>
      <w:r>
        <w:rPr>
          <w:rFonts w:hint="default" w:ascii="Times New Roman" w:hAnsi="Times New Roman" w:eastAsia="仿宋_GB2312" w:cs="Times New Roman"/>
          <w:color w:val="auto"/>
          <w:lang w:val="en-US" w:eastAsia="en-US"/>
        </w:rPr>
        <w:t>建设</w:t>
      </w:r>
      <w:r>
        <w:rPr>
          <w:rFonts w:hint="default" w:ascii="Times New Roman" w:hAnsi="Times New Roman" w:eastAsia="仿宋_GB2312" w:cs="Times New Roman"/>
          <w:color w:val="auto"/>
          <w:lang w:val="en-US" w:eastAsia="zh-CN"/>
        </w:rPr>
        <w:t>等关键领域和薄弱环节，优化资金投向和精准度</w:t>
      </w:r>
      <w:r>
        <w:rPr>
          <w:rFonts w:hint="default" w:ascii="Times New Roman" w:hAnsi="Times New Roman" w:eastAsia="仿宋_GB2312" w:cs="Times New Roman"/>
          <w:color w:val="auto"/>
          <w:lang w:val="en-US" w:eastAsia="en-US"/>
        </w:rPr>
        <w:t>。</w:t>
      </w:r>
      <w:r>
        <w:rPr>
          <w:rFonts w:hint="default" w:ascii="Times New Roman" w:hAnsi="Times New Roman" w:eastAsia="仿宋_GB2312" w:cs="Times New Roman"/>
          <w:color w:val="auto"/>
          <w:lang w:val="en-US" w:eastAsia="zh-CN"/>
        </w:rPr>
        <w:t>围绕国家重大战略实施</w:t>
      </w:r>
      <w:r>
        <w:rPr>
          <w:rFonts w:hint="default" w:ascii="Times New Roman" w:hAnsi="Times New Roman" w:eastAsia="仿宋_GB2312" w:cs="Times New Roman"/>
          <w:color w:val="auto"/>
          <w:lang w:val="en-US" w:eastAsia="en-US"/>
        </w:rPr>
        <w:t>、</w:t>
      </w:r>
      <w:r>
        <w:rPr>
          <w:rFonts w:hint="default" w:ascii="Times New Roman" w:hAnsi="Times New Roman" w:eastAsia="仿宋_GB2312" w:cs="Times New Roman"/>
          <w:color w:val="auto"/>
          <w:lang w:val="en-US" w:eastAsia="zh-CN"/>
        </w:rPr>
        <w:t>高水平科技自立自强、产业链供应链安全</w:t>
      </w:r>
      <w:r>
        <w:rPr>
          <w:rFonts w:hint="default" w:ascii="Times New Roman" w:hAnsi="Times New Roman" w:eastAsia="仿宋_GB2312" w:cs="Times New Roman"/>
          <w:color w:val="auto"/>
          <w:lang w:val="en-US" w:eastAsia="en-US"/>
        </w:rPr>
        <w:t>能力建设</w:t>
      </w:r>
      <w:r>
        <w:rPr>
          <w:rFonts w:hint="default" w:ascii="Times New Roman" w:hAnsi="Times New Roman" w:eastAsia="仿宋_GB2312" w:cs="Times New Roman"/>
          <w:color w:val="auto"/>
          <w:lang w:val="en-US" w:eastAsia="zh-CN"/>
        </w:rPr>
        <w:t>等重点工作，集中力量支持实施一批打基础利长远的大项目</w:t>
      </w:r>
      <w:r>
        <w:rPr>
          <w:rFonts w:hint="default" w:ascii="Times New Roman" w:hAnsi="Times New Roman" w:eastAsia="仿宋_GB2312" w:cs="Times New Roman"/>
          <w:color w:val="auto"/>
          <w:lang w:val="en-US" w:eastAsia="en-US"/>
        </w:rPr>
        <w:t>，</w:t>
      </w:r>
      <w:r>
        <w:rPr>
          <w:rFonts w:hint="default" w:ascii="Times New Roman" w:hAnsi="Times New Roman" w:eastAsia="仿宋_GB2312" w:cs="Times New Roman"/>
          <w:color w:val="auto"/>
          <w:lang w:val="en-US" w:eastAsia="zh-CN"/>
        </w:rPr>
        <w:t>围绕经区重点产业链、延链、补链、强链，加大战略性新兴产业和未来产业培育及传统产业转型升级投资，巩固壮大实体经济根基</w:t>
      </w:r>
      <w:r>
        <w:rPr>
          <w:rFonts w:hint="default" w:ascii="Times New Roman" w:hAnsi="Times New Roman" w:eastAsia="仿宋_GB2312" w:cs="Times New Roman"/>
          <w:color w:val="auto"/>
          <w:lang w:val="en-US" w:eastAsia="en-US"/>
        </w:rPr>
        <w:t>。</w:t>
      </w:r>
      <w:r>
        <w:rPr>
          <w:rFonts w:hint="default" w:ascii="Times New Roman" w:hAnsi="Times New Roman" w:eastAsia="仿宋_GB2312" w:cs="Times New Roman"/>
          <w:color w:val="auto"/>
          <w:lang w:val="en-US" w:eastAsia="zh-CN"/>
        </w:rPr>
        <w:t>加大交通、能源、物流、生态和民生基础设施等领域投资力度，加快补齐发展短板。结合中央预算内投资、“两重”“两新”超长期特别国</w:t>
      </w:r>
      <w:r>
        <w:rPr>
          <w:rFonts w:hint="default" w:ascii="Times New Roman" w:hAnsi="Times New Roman" w:eastAsia="仿宋_GB2312" w:cs="Times New Roman"/>
          <w:color w:val="auto"/>
          <w:lang w:val="en-US" w:eastAsia="en-US"/>
        </w:rPr>
        <w:t>债和</w:t>
      </w:r>
      <w:r>
        <w:rPr>
          <w:rFonts w:hint="default" w:ascii="Times New Roman" w:hAnsi="Times New Roman" w:eastAsia="仿宋_GB2312" w:cs="Times New Roman"/>
          <w:color w:val="auto"/>
          <w:lang w:val="en-US" w:eastAsia="zh-CN"/>
        </w:rPr>
        <w:t>地方政府专项债等政策资金支持方向，提高储备项目的成熟度和可行性。</w:t>
      </w:r>
    </w:p>
    <w:p w14:paraId="4DEBDF5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激发社会投资活力。强化政府投资基金引导撬动功能，持续释放社会投资内生动力，精准吸引社会资本投向重大基础设施、科技创新、产业发展等关键领域，梳理形成向民营企业推介的重大项目和应用场景清单，常态化向社会资本推介重大项目，吸引社会资本参与建设重大项目，完善民营企业参与重大项目建设长效机制，保障民企投资增长效益，让民营企业“进得来、有得干”。支持社会资本与国有资本联合，依法依规通过合资共建、股权转让、增资扩股等方式，共同参与重大项目投管建设运营。加大基础设施领域不动产投资信托基金项目的培育和申报工作力度，强化要素保障，提高融资保障、用地需求、政策兑现、项目推进、人才招引等服务水平，以优质营商环境护航社会投资持续健康发展。</w:t>
      </w:r>
    </w:p>
    <w:p w14:paraId="3FE23EE5">
      <w:pPr>
        <w:pStyle w:val="6"/>
        <w:keepNext w:val="0"/>
        <w:keepLines w:val="0"/>
        <w:pageBreakBefore w:val="0"/>
        <w:widowControl/>
        <w:pBdr>
          <w:top w:val="single" w:color="auto" w:sz="4" w:space="0"/>
          <w:left w:val="single" w:color="auto" w:sz="4" w:space="0"/>
          <w:bottom w:val="single" w:color="auto" w:sz="4" w:space="0"/>
          <w:right w:val="single" w:color="auto" w:sz="4" w:space="0"/>
        </w:pBdr>
        <w:kinsoku/>
        <w:wordWrap/>
        <w:overflowPunct w:val="0"/>
        <w:topLinePunct w:val="0"/>
        <w:autoSpaceDE w:val="0"/>
        <w:autoSpaceDN w:val="0"/>
        <w:bidi w:val="0"/>
        <w:adjustRightInd w:val="0"/>
        <w:snapToGrid w:val="0"/>
        <w:spacing w:before="0" w:beforeLines="0" w:afterLines="0" w:line="560" w:lineRule="exact"/>
        <w:ind w:left="0" w:leftChars="0" w:firstLine="0" w:firstLineChars="0"/>
        <w:jc w:val="center"/>
        <w:textAlignment w:val="baseline"/>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专栏</w:t>
      </w:r>
      <w:r>
        <w:rPr>
          <w:rFonts w:hint="default" w:ascii="Times New Roman" w:hAnsi="Times New Roman" w:cs="Times New Roman"/>
          <w:color w:val="auto"/>
          <w:sz w:val="28"/>
          <w:szCs w:val="28"/>
          <w:lang w:val="en-US" w:eastAsia="zh-CN"/>
        </w:rPr>
        <w:t>2</w:t>
      </w:r>
      <w:r>
        <w:rPr>
          <w:rFonts w:hint="default" w:ascii="Times New Roman" w:hAnsi="Times New Roman" w:eastAsia="仿宋_GB2312" w:cs="Times New Roman"/>
          <w:color w:val="auto"/>
          <w:sz w:val="28"/>
          <w:szCs w:val="28"/>
          <w:lang w:val="en-US" w:eastAsia="zh-CN"/>
        </w:rPr>
        <w:t xml:space="preserve"> 威海经开区社会资本应用场景与REITs培育指引</w:t>
      </w:r>
    </w:p>
    <w:p w14:paraId="58B987ED">
      <w:pPr>
        <w:pStyle w:val="6"/>
        <w:keepNext w:val="0"/>
        <w:keepLines w:val="0"/>
        <w:pageBreakBefore w:val="0"/>
        <w:widowControl/>
        <w:pBdr>
          <w:top w:val="single" w:color="auto" w:sz="4" w:space="0"/>
          <w:left w:val="single" w:color="auto" w:sz="4" w:space="0"/>
          <w:bottom w:val="single" w:color="auto" w:sz="4" w:space="0"/>
          <w:right w:val="single" w:color="auto" w:sz="4" w:space="0"/>
        </w:pBdr>
        <w:kinsoku/>
        <w:wordWrap/>
        <w:overflowPunct w:val="0"/>
        <w:topLinePunct w:val="0"/>
        <w:autoSpaceDE w:val="0"/>
        <w:autoSpaceDN w:val="0"/>
        <w:bidi w:val="0"/>
        <w:adjustRightInd w:val="0"/>
        <w:snapToGrid w:val="0"/>
        <w:spacing w:before="0" w:beforeLines="0" w:afterLines="0" w:line="560" w:lineRule="exact"/>
        <w:ind w:firstLine="0" w:firstLineChars="0"/>
        <w:textAlignment w:val="baseline"/>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聚焦海洋经济、高端装备、新能源等优势赛道，定期发布《威海经开区社会资本应用场景与重大项目推介清单》，重点开放智慧冷链物流枢纽、分布式光伏+储能微电网、海洋装备核心部件协同制造平台、园区</w:t>
      </w:r>
      <w:r>
        <w:rPr>
          <w:rFonts w:hint="default" w:ascii="Times New Roman" w:hAnsi="Times New Roman" w:cs="Times New Roman"/>
          <w:color w:val="auto"/>
          <w:sz w:val="28"/>
          <w:szCs w:val="28"/>
          <w:lang w:eastAsia="zh-CN"/>
        </w:rPr>
        <w:t>“车路云一体化”</w:t>
      </w:r>
      <w:r>
        <w:rPr>
          <w:rFonts w:hint="default" w:ascii="Times New Roman" w:hAnsi="Times New Roman" w:eastAsia="仿宋_GB2312" w:cs="Times New Roman"/>
          <w:color w:val="auto"/>
          <w:sz w:val="28"/>
          <w:szCs w:val="28"/>
        </w:rPr>
        <w:t>测试道路等场景。同步建立基础设施REITs资产培育库，优先推进标准化厂房及研发配套、港口冷链仓储、工业污水处理及再生水回用、新能源充换电网络等具备稳定现金流的资产证券化申报，以“场景开放+资产盘活”双轮驱动民间投资扩量提质。</w:t>
      </w:r>
    </w:p>
    <w:p w14:paraId="635AB08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化投融资体制改革。健全投资审批管理制度，进一步优化投资项目审批管理，简化优化投资审批流程，深入推进投资项目审批“高效办成一件事”，提高投资建设便利化水平。加强政府投资理论管理，优化政府投资方向和结构，科学编制政府投资计划，统筹安排各类政府投资基金，发挥政府投资撬动作用。加强投资项目企业全生命周期管理，防范低效投资，重复建设，统筹“硬投资”和“软建设”，进一步提高投资综合效益。</w:t>
      </w:r>
    </w:p>
    <w:p w14:paraId="79DEE57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en-US"/>
        </w:rPr>
        <w:t>纵深推进融入服务全国统一大市场</w:t>
      </w:r>
      <w:r>
        <w:rPr>
          <w:rFonts w:hint="default" w:ascii="Times New Roman" w:hAnsi="Times New Roman" w:eastAsia="仿宋_GB2312" w:cs="Times New Roman"/>
          <w:color w:val="auto"/>
          <w:lang w:val="en-US" w:eastAsia="zh-CN"/>
        </w:rPr>
        <w:t>。严格落实“五统一、一开放”“全国一张清单”要求，破除要素获取、资质认定等领域壁垒，规范政府经济促进行为和招商引资、政府采购等工作，杜绝违法违规优惠政策，避免“内卷式”竞争。加强产权保护与社会信用体系建设，健全知识产权快速审查和纠纷裁决绿色通道，完善信用信息归集、协助企业信用修复，争创全国社会信用体系建设示范区。深化要素市场化配置改革，破除人才、资本、数据等要素自由流动的体制机制障碍，建立土地要素统筹管理联动机制，加大重点领域金融支持，探索数据基础制度体系和要素交易平台、跨区域协调机制，实现人才资质互认、科技成果共享与数据要素流通增值。</w:t>
      </w:r>
    </w:p>
    <w:p w14:paraId="0BA293C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val="0"/>
          <w:bCs/>
          <w:snapToGrid w:val="0"/>
          <w:color w:val="auto"/>
          <w:kern w:val="0"/>
          <w:sz w:val="32"/>
          <w:szCs w:val="32"/>
          <w:lang w:val="en-US" w:eastAsia="zh-CN" w:bidi="ar-SA"/>
        </w:rPr>
      </w:pPr>
      <w:r>
        <w:rPr>
          <w:rFonts w:hint="default" w:ascii="Times New Roman" w:hAnsi="Times New Roman" w:eastAsia="仿宋_GB2312" w:cs="Times New Roman"/>
          <w:b w:val="0"/>
          <w:bCs/>
          <w:snapToGrid w:val="0"/>
          <w:color w:val="auto"/>
          <w:kern w:val="0"/>
          <w:sz w:val="32"/>
          <w:szCs w:val="32"/>
          <w:lang w:val="en-US" w:eastAsia="zh-CN" w:bidi="ar-SA"/>
        </w:rPr>
        <w:br w:type="page"/>
      </w:r>
    </w:p>
    <w:p w14:paraId="350A11E2">
      <w:pPr>
        <w:pStyle w:val="3"/>
        <w:kinsoku/>
        <w:bidi w:val="0"/>
        <w:spacing w:before="0" w:beforeLines="0" w:after="0" w:afterLines="0" w:line="560" w:lineRule="exact"/>
        <w:rPr>
          <w:rFonts w:hint="default" w:ascii="Times New Roman" w:hAnsi="Times New Roman" w:cs="Times New Roman"/>
          <w:color w:val="auto"/>
          <w:sz w:val="32"/>
          <w:szCs w:val="32"/>
          <w:lang w:eastAsia="zh-CN"/>
        </w:rPr>
      </w:pPr>
      <w:bookmarkStart w:id="25" w:name="_Toc26119"/>
      <w:r>
        <w:rPr>
          <w:rFonts w:hint="default" w:ascii="Times New Roman" w:hAnsi="Times New Roman" w:cs="Times New Roman"/>
          <w:color w:val="auto"/>
          <w:sz w:val="32"/>
          <w:szCs w:val="32"/>
        </w:rPr>
        <w:t>第</w:t>
      </w:r>
      <w:r>
        <w:rPr>
          <w:rFonts w:hint="default" w:ascii="Times New Roman" w:hAnsi="Times New Roman" w:cs="Times New Roman"/>
          <w:color w:val="auto"/>
          <w:sz w:val="32"/>
          <w:szCs w:val="32"/>
          <w:lang w:val="en-US" w:eastAsia="zh-CN"/>
        </w:rPr>
        <w:t>五</w:t>
      </w:r>
      <w:r>
        <w:rPr>
          <w:rFonts w:hint="default" w:ascii="Times New Roman" w:hAnsi="Times New Roman" w:cs="Times New Roman"/>
          <w:color w:val="auto"/>
          <w:sz w:val="32"/>
          <w:szCs w:val="32"/>
        </w:rPr>
        <w:t>章</w:t>
      </w:r>
      <w:r>
        <w:rPr>
          <w:rFonts w:hint="default"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rPr>
        <w:t>精塑城乡新样板 融合提质促共兴</w:t>
      </w:r>
      <w:bookmarkEnd w:id="25"/>
    </w:p>
    <w:p w14:paraId="6ACE2DF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1408CC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把习近平总书记“威海要向精致城市方向发展”殷切嘱托作为总目标总方向总遵循，推动城乡精致建设与产业升级、民生保障深度融合，着力破解城市发展短板，推动精致城市建设向更高水平更高品质的2.0版本全面升级，打造全域精致、城乡和美的“精致城市建设引领区”。</w:t>
      </w:r>
    </w:p>
    <w:p w14:paraId="41A05F43">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6" w:name="_Toc26449"/>
      <w:r>
        <w:rPr>
          <w:rFonts w:hint="default" w:ascii="Times New Roman" w:hAnsi="Times New Roman" w:cs="Times New Roman"/>
          <w:color w:val="auto"/>
          <w:lang w:val="en-US" w:eastAsia="zh-CN"/>
        </w:rPr>
        <w:t>第一节 提质建设全域精致城市​</w:t>
      </w:r>
      <w:bookmarkEnd w:id="26"/>
    </w:p>
    <w:p w14:paraId="06E5CC0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打造精致宜居空间。加快基础设施升级，优化交通网络布局，实施大庆路、海埠路大修，拓宽海峰路，推进珠海路东延及疏港二路、齐鲁大道西延等跨区道路建设。有序推进黄海路、青岛路、华夏北路等主次干道雨污管网，提升地下管网效率。投用凤林220千伏变电站保障电力供应，建设龙山湖</w:t>
      </w:r>
      <w:r>
        <w:rPr>
          <w:rFonts w:hint="eastAsia" w:ascii="Times New Roman" w:hAnsi="Times New Roman" w:cs="Times New Roman"/>
          <w:color w:val="auto"/>
          <w:lang w:val="en-US" w:eastAsia="zh-CN"/>
        </w:rPr>
        <w:t>等</w:t>
      </w:r>
      <w:r>
        <w:rPr>
          <w:rFonts w:hint="default" w:ascii="Times New Roman" w:hAnsi="Times New Roman" w:eastAsia="仿宋_GB2312" w:cs="Times New Roman"/>
          <w:color w:val="auto"/>
          <w:lang w:val="en-US" w:eastAsia="zh-CN"/>
        </w:rPr>
        <w:t>污水泵站解决棚改安置区排污问题，摸排30年以上运营城市桥梁，分期开展九龙河沿线齐鲁大道、珠海路等中桥改造，持续强化安全保障。推进精致住区建设与老旧小区焕新，落实“四好”要求，稳步推进北山、华夏片区土地开发，打造绿色低碳智能安全的高品质住宅，积极争创城镇房屋定期体检、养老金、安全保险三项制度试点，构建房屋全生命周期管理制度，系统性推进珠海路南都市精致产业园、华夏路威海站等片区更新，丰富业态、创新消费场景。</w:t>
      </w:r>
    </w:p>
    <w:p w14:paraId="384724B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b w:val="0"/>
          <w:bCs/>
          <w:color w:val="auto"/>
          <w:lang w:val="en-US" w:eastAsia="zh-CN"/>
        </w:rPr>
        <w:t>实施智慧高效治理。</w:t>
      </w:r>
      <w:r>
        <w:rPr>
          <w:rFonts w:hint="default" w:ascii="Times New Roman" w:hAnsi="Times New Roman" w:eastAsia="仿宋_GB2312" w:cs="Times New Roman"/>
          <w:color w:val="auto"/>
          <w:lang w:val="en-US" w:eastAsia="en-US"/>
        </w:rPr>
        <w:t>以“一网统管”为核心牵引，推动数据深度赋能城市管理、行业监管与社区服务，实现治理模式智能化、协同化变革。深化智慧住建升级与“人工智能+”行动，迭代升级城市运行管理服务平台并拓展应用场景；推动智慧燃气、供热、防汛、道桥隧、照明等场景建设，探索为市政基础设施加装物联智能感知设备，实现运行状况实时监测、动态预警、精准溯源与协同处置；完善智慧工地监管平台，提升工程施工质量与安全监管效能。加强智慧住区建设，推进智慧便民设施进社区，优化送餐、送货、送药等便民服务能力；深化“红色物业”提质增效，支持物业构建线上线下融合生活服务平台，提升管理智能化精细化水平；将数字家庭纳入“好房子”建设，明确新建全装修住宅需配置基本智能产品，鼓励既有住宅参照升级。</w:t>
      </w:r>
    </w:p>
    <w:p w14:paraId="3EE8764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构筑绿色发展底色。全面拓展蓝绿生态空间，提升海滨南路、黄海路、上海路街景品质，通过微改造与精细化公园运营，将公共开放空间打造为集生态涵养、景观观赏、社交互动于一体的城市疗愈场所。从严从实优化水系生态环境，实施华能风电项目岸线生态修复、九龙河流域综合治理等工程，筑牢区域生态安全屏障。统筹推进绿色建材研发、绿色建造技术应用与绿色建筑推广全链条升级，每年新增星级绿色建筑超25万平方米。</w:t>
      </w:r>
    </w:p>
    <w:p w14:paraId="632CC70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提升国际化城市品质。深化“开放之区”品牌塑造，全力建成更高水平对外开放新高地，着力打造辨识度高、辐射力广、影响力强的国际化城市品牌。系统整合滨海旅游、工业旅游等特色资源，创新打造高端康养、亲子度假等精品业态，提升城市国际化消费功能与活力。强化港产城联动，有序推进威海港奔腾港码头建设、威至一号等海上旅游船舶泊位建设以及芜湖船厂、新泰源、铁底湾码头前期谋划工作，推动港口、园区与城市功能深度联动、一体发展，畅通面向日韩、辐射欧亚的国际物流大通道，提升城市开放发展能级。</w:t>
      </w:r>
    </w:p>
    <w:p w14:paraId="63BC4A35">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bidi w:val="0"/>
        <w:adjustRightInd w:val="0"/>
        <w:snapToGrid w:val="0"/>
        <w:spacing w:beforeLines="0" w:afterLines="0" w:line="520" w:lineRule="exact"/>
        <w:jc w:val="center"/>
        <w:textAlignment w:val="auto"/>
        <w:rPr>
          <w:rFonts w:hint="default" w:ascii="Times New Roman" w:hAnsi="Times New Roman" w:eastAsia="仿宋_GB2312" w:cs="Times New Roman"/>
          <w:b/>
          <w:bCs/>
          <w:color w:val="auto"/>
          <w:sz w:val="28"/>
          <w:szCs w:val="28"/>
          <w:lang w:val="en-US" w:eastAsia="zh-CN"/>
        </w:rPr>
      </w:pPr>
      <w:r>
        <w:rPr>
          <w:rFonts w:hint="default" w:ascii="Times New Roman" w:hAnsi="Times New Roman" w:eastAsia="仿宋_GB2312" w:cs="Times New Roman"/>
          <w:b/>
          <w:bCs/>
          <w:color w:val="auto"/>
          <w:sz w:val="28"/>
          <w:szCs w:val="28"/>
          <w:lang w:val="en-US" w:eastAsia="zh-CN"/>
        </w:rPr>
        <w:t>专栏3 精致城市建设重点工程</w:t>
      </w:r>
    </w:p>
    <w:p w14:paraId="566314B1">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topLinePunct w:val="0"/>
        <w:bidi w:val="0"/>
        <w:adjustRightInd w:val="0"/>
        <w:snapToGrid w:val="0"/>
        <w:spacing w:before="0" w:beforeLines="0" w:afterLines="0" w:line="520" w:lineRule="exact"/>
        <w:ind w:left="0" w:leftChars="0" w:firstLine="560" w:firstLineChars="200"/>
        <w:jc w:val="both"/>
        <w:rPr>
          <w:rFonts w:hint="default" w:ascii="Times New Roman" w:hAnsi="Times New Roman" w:eastAsia="仿宋_GB2312" w:cs="Times New Roman"/>
          <w:color w:val="auto"/>
          <w:sz w:val="28"/>
          <w:szCs w:val="28"/>
          <w:u w:val="none"/>
        </w:rPr>
      </w:pPr>
      <w:r>
        <w:rPr>
          <w:rFonts w:hint="default" w:ascii="Times New Roman" w:hAnsi="Times New Roman" w:eastAsia="仿宋_GB2312" w:cs="Times New Roman"/>
          <w:color w:val="auto"/>
          <w:sz w:val="28"/>
          <w:szCs w:val="28"/>
          <w:u w:val="none"/>
          <w:lang w:val="en-US" w:eastAsia="zh-CN"/>
        </w:rPr>
        <w:t>1.</w:t>
      </w:r>
      <w:r>
        <w:rPr>
          <w:rFonts w:hint="default" w:ascii="Times New Roman" w:hAnsi="Times New Roman" w:eastAsia="仿宋_GB2312" w:cs="Times New Roman"/>
          <w:color w:val="auto"/>
          <w:sz w:val="28"/>
          <w:szCs w:val="28"/>
          <w:u w:val="none"/>
        </w:rPr>
        <w:t>交通路网优化工程：推进东风路松涧路以北、九龙路崮山路以西等道路贯通，打通三横路、松涧路等断头路，实现城乡交通顺畅高效衔接。</w:t>
      </w:r>
    </w:p>
    <w:p w14:paraId="0B3F5E9F">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topLinePunct w:val="0"/>
        <w:bidi w:val="0"/>
        <w:adjustRightInd w:val="0"/>
        <w:snapToGrid w:val="0"/>
        <w:spacing w:before="0" w:beforeLines="0" w:afterLines="0" w:line="520" w:lineRule="exact"/>
        <w:ind w:left="0" w:leftChars="0" w:firstLine="560" w:firstLineChars="200"/>
        <w:jc w:val="both"/>
        <w:rPr>
          <w:rFonts w:hint="default" w:ascii="Times New Roman" w:hAnsi="Times New Roman" w:eastAsia="仿宋_GB2312" w:cs="Times New Roman"/>
          <w:color w:val="auto"/>
          <w:sz w:val="28"/>
          <w:szCs w:val="28"/>
          <w:u w:val="none"/>
        </w:rPr>
      </w:pPr>
      <w:r>
        <w:rPr>
          <w:rFonts w:hint="default" w:ascii="Times New Roman" w:hAnsi="Times New Roman" w:eastAsia="仿宋_GB2312" w:cs="Times New Roman"/>
          <w:color w:val="auto"/>
          <w:sz w:val="28"/>
          <w:szCs w:val="28"/>
          <w:u w:val="none"/>
          <w:lang w:val="en-US" w:eastAsia="zh-CN"/>
        </w:rPr>
        <w:t>2.</w:t>
      </w:r>
      <w:r>
        <w:rPr>
          <w:rFonts w:hint="default" w:ascii="Times New Roman" w:hAnsi="Times New Roman" w:eastAsia="仿宋_GB2312" w:cs="Times New Roman"/>
          <w:color w:val="auto"/>
          <w:sz w:val="28"/>
          <w:szCs w:val="28"/>
          <w:u w:val="none"/>
        </w:rPr>
        <w:t>基础设施改造工程：实施黄海路、青岛路、华夏北路等雨污管网改造；实施凤林220千伏变电站、龙山湖污水泵站、华东重工挡土墙改造、公交站候车亭和安全防护设施改造、九龙河齐鲁大道中桥改造等一批市政工程。</w:t>
      </w:r>
    </w:p>
    <w:p w14:paraId="4333A4AE">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topLinePunct w:val="0"/>
        <w:autoSpaceDE/>
        <w:autoSpaceDN/>
        <w:bidi w:val="0"/>
        <w:adjustRightInd w:val="0"/>
        <w:snapToGrid w:val="0"/>
        <w:spacing w:before="0" w:beforeLines="0" w:afterLines="0" w:line="520" w:lineRule="exact"/>
        <w:ind w:left="0" w:leftChars="0" w:firstLine="560" w:firstLineChars="200"/>
        <w:jc w:val="both"/>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rPr>
        <w:t>智慧平台提质工程：完善智慧燃气、智慧工地、城市运行管理服务等重点平台功能，提升平台实操性和服务效能。</w:t>
      </w:r>
    </w:p>
    <w:p w14:paraId="0E7035DB">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topLinePunct w:val="0"/>
        <w:autoSpaceDE/>
        <w:autoSpaceDN/>
        <w:bidi w:val="0"/>
        <w:adjustRightInd w:val="0"/>
        <w:snapToGrid w:val="0"/>
        <w:spacing w:before="0" w:beforeLines="0" w:afterLines="0" w:line="520" w:lineRule="exact"/>
        <w:ind w:left="0" w:leftChars="0" w:firstLine="560" w:firstLineChars="200"/>
        <w:jc w:val="both"/>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4.</w:t>
      </w:r>
      <w:r>
        <w:rPr>
          <w:rFonts w:hint="default" w:ascii="Times New Roman" w:hAnsi="Times New Roman" w:eastAsia="仿宋_GB2312" w:cs="Times New Roman"/>
          <w:color w:val="auto"/>
          <w:sz w:val="28"/>
          <w:szCs w:val="28"/>
        </w:rPr>
        <w:t>智慧场景建设工程：以场景需求为核心牵引，精准实施智慧防汛、智慧道桥隧、智慧照明等新型智慧治理项目，靶向补齐智慧治理领域短板弱项，推进智能化技术在城市治理各环节的深度应用。</w:t>
      </w:r>
    </w:p>
    <w:p w14:paraId="4C6B9A12">
      <w:pPr>
        <w:pStyle w:val="6"/>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val="0"/>
        <w:topLinePunct w:val="0"/>
        <w:autoSpaceDE w:val="0"/>
        <w:autoSpaceDN w:val="0"/>
        <w:bidi w:val="0"/>
        <w:adjustRightInd w:val="0"/>
        <w:snapToGrid w:val="0"/>
        <w:spacing w:before="0" w:beforeLines="0" w:afterLines="0" w:line="520" w:lineRule="exact"/>
        <w:ind w:left="0" w:leftChars="0" w:firstLine="560" w:firstLineChars="200"/>
        <w:jc w:val="both"/>
        <w:textAlignment w:val="baseline"/>
        <w:rPr>
          <w:rFonts w:hint="default" w:ascii="Times New Roman" w:hAnsi="Times New Roman" w:eastAsia="仿宋_GB2312" w:cs="Times New Roman"/>
          <w:color w:val="auto"/>
          <w:sz w:val="28"/>
          <w:szCs w:val="28"/>
          <w:u w:val="none"/>
          <w:lang w:eastAsia="zh-CN"/>
        </w:rPr>
      </w:pPr>
      <w:r>
        <w:rPr>
          <w:rFonts w:hint="default" w:ascii="Times New Roman" w:hAnsi="Times New Roman" w:eastAsia="仿宋_GB2312" w:cs="Times New Roman"/>
          <w:color w:val="auto"/>
          <w:sz w:val="28"/>
          <w:szCs w:val="28"/>
          <w:u w:val="none"/>
          <w:lang w:val="en-US" w:eastAsia="zh-CN"/>
        </w:rPr>
        <w:t>5.</w:t>
      </w:r>
      <w:r>
        <w:rPr>
          <w:rFonts w:hint="default" w:ascii="Times New Roman" w:hAnsi="Times New Roman" w:eastAsia="仿宋_GB2312" w:cs="Times New Roman"/>
          <w:color w:val="auto"/>
          <w:sz w:val="28"/>
          <w:szCs w:val="28"/>
          <w:u w:val="none"/>
          <w:lang w:eastAsia="zh-CN"/>
        </w:rPr>
        <w:t>低碳转型推进工程：实施海滨南路、黄海路、上海路沿线绿化提升工程；实施九龙河、渤海河、海峰河等10条河道综合治理工程；推进温泉寨水库除险加固、天东河挡墙加固工程；开展华能风电项目岸线生态修复，推动清洁能源项目与生态保护协同发展。大力推广绿色建筑，到2030年，新增星级绿色建筑25万平方米以上。</w:t>
      </w:r>
    </w:p>
    <w:p w14:paraId="5E6291C1">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7" w:name="_Toc17443"/>
    </w:p>
    <w:p w14:paraId="3CF4468B">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bidi w:val="0"/>
        <w:adjustRightInd w:val="0"/>
        <w:snapToGrid w:val="0"/>
        <w:spacing w:beforeLines="0" w:afterLines="0" w:line="560" w:lineRule="exact"/>
        <w:ind w:firstLine="562" w:firstLineChars="200"/>
        <w:jc w:val="center"/>
        <w:textAlignment w:val="auto"/>
        <w:rPr>
          <w:rFonts w:hint="default" w:ascii="Times New Roman" w:hAnsi="Times New Roman" w:eastAsia="仿宋_GB2312" w:cs="Times New Roman"/>
          <w:b/>
          <w:bCs/>
          <w:color w:val="auto"/>
          <w:sz w:val="28"/>
          <w:szCs w:val="28"/>
          <w:lang w:val="en-US" w:eastAsia="zh-CN"/>
        </w:rPr>
      </w:pPr>
      <w:r>
        <w:rPr>
          <w:rFonts w:hint="default" w:ascii="Times New Roman" w:hAnsi="Times New Roman" w:eastAsia="仿宋_GB2312" w:cs="Times New Roman"/>
          <w:b/>
          <w:bCs/>
          <w:color w:val="auto"/>
          <w:sz w:val="28"/>
          <w:szCs w:val="28"/>
          <w:lang w:val="en-US" w:eastAsia="zh-CN"/>
        </w:rPr>
        <w:t>专栏4 重点工程实施进度</w:t>
      </w:r>
    </w:p>
    <w:p w14:paraId="5A2C7842">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bidi w:val="0"/>
        <w:adjustRightInd w:val="0"/>
        <w:snapToGrid w:val="0"/>
        <w:spacing w:beforeLines="0" w:afterLines="0" w:line="56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1.2026年重点推进工程项目：威海都市创新产业园迷你硅谷项目；盛德翡丽天玺、威新缦云湾、信泰壹号院、阳光海上城三期等项目；</w:t>
      </w:r>
      <w:r>
        <w:rPr>
          <w:rFonts w:hint="eastAsia" w:ascii="Times New Roman" w:hAnsi="Times New Roman" w:eastAsia="仿宋_GB2312" w:cs="Times New Roman"/>
          <w:color w:val="auto"/>
          <w:sz w:val="28"/>
          <w:szCs w:val="28"/>
          <w:lang w:val="en-US" w:eastAsia="zh-CN"/>
        </w:rPr>
        <w:t>加强</w:t>
      </w:r>
      <w:r>
        <w:rPr>
          <w:rFonts w:hint="default" w:ascii="Times New Roman" w:hAnsi="Times New Roman" w:eastAsia="仿宋_GB2312" w:cs="Times New Roman"/>
          <w:color w:val="auto"/>
          <w:sz w:val="28"/>
          <w:szCs w:val="28"/>
          <w:lang w:val="en-US" w:eastAsia="zh-CN"/>
        </w:rPr>
        <w:t>老旧电梯更新</w:t>
      </w:r>
      <w:r>
        <w:rPr>
          <w:rFonts w:hint="eastAsia" w:ascii="Times New Roman" w:hAnsi="Times New Roman" w:eastAsia="仿宋_GB2312" w:cs="Times New Roman"/>
          <w:color w:val="auto"/>
          <w:sz w:val="28"/>
          <w:szCs w:val="28"/>
          <w:lang w:val="en-US" w:eastAsia="zh-CN"/>
        </w:rPr>
        <w:t>。</w:t>
      </w:r>
    </w:p>
    <w:p w14:paraId="7627164C">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bidi w:val="0"/>
        <w:adjustRightInd w:val="0"/>
        <w:snapToGrid w:val="0"/>
        <w:spacing w:beforeLines="0" w:afterLines="0" w:line="560" w:lineRule="exact"/>
        <w:ind w:firstLine="560" w:firstLineChars="200"/>
        <w:jc w:val="both"/>
        <w:textAlignment w:val="auto"/>
        <w:rPr>
          <w:rFonts w:hint="default" w:ascii="Times New Roman" w:hAnsi="Times New Roman" w:eastAsia="仿宋_GB2312" w:cs="Times New Roman"/>
          <w:color w:val="auto"/>
          <w:sz w:val="28"/>
          <w:szCs w:val="28"/>
          <w:u w:val="none"/>
          <w:lang w:eastAsia="zh-CN"/>
        </w:rPr>
      </w:pPr>
      <w:r>
        <w:rPr>
          <w:rFonts w:hint="default" w:ascii="Times New Roman" w:hAnsi="Times New Roman" w:eastAsia="仿宋_GB2312" w:cs="Times New Roman"/>
          <w:color w:val="auto"/>
          <w:sz w:val="28"/>
          <w:szCs w:val="28"/>
          <w:lang w:val="en-US" w:eastAsia="zh-CN"/>
        </w:rPr>
        <w:t>2.2027-2030重点推进工程项目：皇冠北片区、皇冠南片区、长峰西片区、汇安片区、新都片区等老旧片区基础设施和公共服务提升；老旧电梯更新、加装电梯、停车设施建设等民生实事项目；珠海路南都市精致产业园片区、华夏路威海站西广场片区、青岛路两侧宋家洼片区更新；九龙湾、东浦湾等海湾综合提升。</w:t>
      </w:r>
    </w:p>
    <w:p w14:paraId="3A9873EA">
      <w:pPr>
        <w:pStyle w:val="4"/>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第二节 示范引领齐鲁和美乡村</w:t>
      </w:r>
      <w:bookmarkEnd w:id="27"/>
    </w:p>
    <w:p w14:paraId="4896786C">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一、坚守两条底线不动摇</w:t>
      </w:r>
    </w:p>
    <w:p w14:paraId="489AD59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守粮食安全底线。扛牢粮食安全政治责任，落实“藏粮于地、藏粮于技”战略，严格执行耕地保护制度，加强重大病虫害统防统治，推动良种、良田、良法、良机深度融合，优化粮食作物品种结构，扩大胶东旱稻、黑麦等优质品种种植规模，建设单产提升示范区和生物育种推广示范区，推广玉米密植、水肥一体化等增产技术；培育壮大新型经营主体，完善农业社会化服务体系，提升机械化作业水平和防灾减灾能力；加快农业绿色低碳转型，实施化肥农药减量增效行动，完善秸秆综合利用、畜禽粪污资源化利用和农膜回收处理体系；健全农产品质量安全监管体系，完善“从田间到餐桌”全过程追溯机制，加强绿色食品、有机农产品和地理标志农产品认证管理。到2030年，全区粮食面积及产能稳定保持在1万亩、4000吨以上，主要农作物综合机械化率超96%，省级农业龙头企业达2家、市级6家，绿色、有机认证总数达8个以上，主要农产品质量安全监测合格率稳定在98%以上。</w:t>
      </w:r>
    </w:p>
    <w:p w14:paraId="1A570AC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守常态化防止返贫致贫底线。健全常态化帮扶机制，建立统一规范、精准识别、动态调整的防止返贫致贫监测体系，畅通自主申报、基层排查、部门推送三条渠道，做到“早发现、早干预、早帮扶”；完善农村低收入人口分层分类帮扶政策，对有劳动能力的群体落实产业就业等开发式帮扶，对缺乏劳动能力的群体强化社会救助保障；加强帮扶项目资产规范管理，实行资金、项目、资产一体化管理，严格项目入库审核和竣工验收，规范经营性资产运营与公益性资产管护，优化收益分配机制，确保收益精准惠及村集体与群众。“十五五”期间，确保已建成的13个帮扶项目及新建项目持续发挥效益，经营性项目年均收益率稳定在8%左右。</w:t>
      </w:r>
    </w:p>
    <w:p w14:paraId="49E183DE">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二、发展壮大两大特色农业</w:t>
      </w:r>
    </w:p>
    <w:p w14:paraId="69CFD09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推动无花果产业全链条升级。以“三产融合、品牌引领”为核心导向，推动产业从传统种植模式，向“产业链完整、价值链高端、市场链稳固”的现代产业体系转型。优化品种结构，引进选育适配经开区生态条件的优新品种，破解鲜果品种单一、上市时段集中发展难题。升级种植模式，以邵家庄现代无花果种植模式为示范样板，规划建设无花果现代农业产业园，推广反季节种植技术，实现“四季有果熟、全年有钱赚”良性发展格局。提升加工能级，强化紫祥科技“链主”企业引领作用，支持企业深耕精深加工领域，推动无花果果实、根、茎、叶全部位高效利用。建设广安城投无花果集散加工中心，集成仓储保鲜、初加工处理、电商直播运营、物流集散配送等综合功能，打通加工流通堵点。强化品牌赋能，持续打造“山海有涯・圣果无花”区域公共品牌，构建“区域公共品牌+企业主体品牌+产品特色品牌”三级品牌矩阵，持续提升“威海无花果”的市场知名度、美誉度和核心竞争力。到2030年，新品种应用比例提升至10%以上，建成无花果现代农业产业园1000亩以上；紫</w:t>
      </w:r>
      <w:r>
        <w:rPr>
          <w:rFonts w:hint="default" w:ascii="Times New Roman" w:hAnsi="Times New Roman" w:cs="Times New Roman"/>
          <w:color w:val="auto"/>
          <w:lang w:val="en-US" w:eastAsia="zh-CN"/>
        </w:rPr>
        <w:t>光</w:t>
      </w:r>
      <w:r>
        <w:rPr>
          <w:rFonts w:hint="default" w:ascii="Times New Roman" w:hAnsi="Times New Roman" w:eastAsia="仿宋_GB2312" w:cs="Times New Roman"/>
          <w:color w:val="auto"/>
          <w:lang w:val="en-US" w:eastAsia="zh-CN"/>
        </w:rPr>
        <w:t>科技与无花果集散加工中心培育成为行业标杆龙头企业，全区无花果加工转化率提升至40%以上，产业全链条产值突破18亿元。</w:t>
      </w:r>
    </w:p>
    <w:p w14:paraId="517666F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推动设施蔬菜产业提质增效。立足威海“菜篮子”供给保障职能，以工业理念赋能农业发展，推动设施蔬菜产业向“园区化集聚、职业化经营、标准化生产、品牌化发展”转型提质。打造现代化设施蔬菜园区，统筹产业空间布局，推进龙山湖蔬菜坊项目投产，谋划石家河创意农业示范区建设，建设集中连片、集约高效的设施蔬菜产业集聚区。构建高效产销体系，推进基地智能化改造，应用物联网、大数据实现精准调控，推行标准化生产规程，加快“有机食品”认证，打造“龙山湖蔬菜坊”品牌，拓展研学、休闲体验业态；完善利益联结机制，推行“龙头企业+村集体+农户”模式，通过用工本地化、技能培训、订单生产提升农民专业化水平；借鉴寿光农控技术与渠道优势，实施乡村“红色合伙人”计划，搭建就业对接与市场衔接平台，实现“企业盈利、农民增收、集体壮大”。到2030年，全区现代化设施蔬菜总规模突破2000亩，建成区域领先的标准化产业园区。</w:t>
      </w:r>
    </w:p>
    <w:p w14:paraId="1B6C9B0B">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三、统筹推进乡村全面振兴</w:t>
      </w:r>
    </w:p>
    <w:p w14:paraId="21D5382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学习运用“千万工程”经验，以党建联动、资源整合、产业融合、人才集聚为驱动，统筹推进乡村全面振兴。深化农村人居环境综合整治，坚持补短板与提品质并重，因地制宜推进村庄保洁、基础设施建设，统筹完善居住功能与风貌提升，推进崮山镇邵家庄村现代宜居农房建设项目，加快建设宜居宜业和美乡村。提升集体经济发展活力，深化村级建制调整改革成效，推进村党组织“跨村联建”，以产业协同促进村庄融合发展。加强“三资”规范化管理</w:t>
      </w:r>
      <w:r>
        <w:rPr>
          <w:rFonts w:hint="eastAsia"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拓展多元化增收路径，探索“乡村共富公司”等新型集体经济，推动联动发展，激活资源要素。到2030年，全域建成省级乡村振兴齐鲁样板，聚力打造泊于镇龙山湖“创意农业”、崮山镇“经彩共富・圣果无花”两大齐鲁乡村振兴示范样板，形成特色彰显的“千万工程”经开区实践。</w:t>
      </w:r>
    </w:p>
    <w:p w14:paraId="2DFD3A33">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autoSpaceDE w:val="0"/>
        <w:autoSpaceDN w:val="0"/>
        <w:bidi w:val="0"/>
        <w:adjustRightInd w:val="0"/>
        <w:snapToGrid w:val="0"/>
        <w:spacing w:beforeLines="0" w:afterLines="0" w:line="560" w:lineRule="exact"/>
        <w:jc w:val="center"/>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专栏5 两大农业现代化发展工程</w:t>
      </w:r>
    </w:p>
    <w:p w14:paraId="0061795E">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autoSpaceDE w:val="0"/>
        <w:autoSpaceDN w:val="0"/>
        <w:bidi w:val="0"/>
        <w:adjustRightInd w:val="0"/>
        <w:snapToGrid w:val="0"/>
        <w:spacing w:beforeLines="0" w:afterLines="0" w:line="56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无花果产业。常态化举办中国农民丰收节、无花果文化旅游月等特色活动，打造无花果精致采摘园12处，推动农文旅深度融合发展；年均组织参与省级以上展会活动5场次以上，全力争创国家级无花果小镇、农业产业强镇等荣誉称号；推进产品品质认证提质，实现无花果绿色食品认证、香港优质“正”印认证总量达</w:t>
      </w:r>
      <w:r>
        <w:rPr>
          <w:rFonts w:hint="eastAsia" w:ascii="Times New Roman" w:hAnsi="Times New Roman" w:eastAsia="仿宋_GB2312" w:cs="Times New Roman"/>
          <w:color w:val="auto"/>
          <w:sz w:val="28"/>
          <w:szCs w:val="28"/>
          <w:lang w:val="en-US" w:eastAsia="zh-CN"/>
        </w:rPr>
        <w:t>2</w:t>
      </w:r>
      <w:r>
        <w:rPr>
          <w:rFonts w:hint="default" w:ascii="Times New Roman" w:hAnsi="Times New Roman" w:eastAsia="仿宋_GB2312" w:cs="Times New Roman"/>
          <w:color w:val="auto"/>
          <w:sz w:val="28"/>
          <w:szCs w:val="28"/>
          <w:lang w:val="en-US" w:eastAsia="zh-CN"/>
        </w:rPr>
        <w:t>个以上，持续提升无花果品牌价值与市场核心竞争力。</w:t>
      </w:r>
    </w:p>
    <w:p w14:paraId="44CAAB3F">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autoSpaceDE w:val="0"/>
        <w:autoSpaceDN w:val="0"/>
        <w:bidi w:val="0"/>
        <w:adjustRightInd w:val="0"/>
        <w:snapToGrid w:val="0"/>
        <w:spacing w:beforeLines="0" w:afterLines="0" w:line="56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设施蔬菜产业。打造具有影响力的蔬菜品牌，构建线上线下融合的销售渠道，建成全市设施蔬菜产业示范龙头和农文旅融合标杆。用工本地化比例提升至90%以上，订单农业覆盖率达60%以上，参与农户户均年增收突破2万元，形成专业化、组织化的现代蔬菜产业工人队伍。</w:t>
      </w:r>
    </w:p>
    <w:p w14:paraId="70F9979C">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28" w:name="_Toc22729"/>
    </w:p>
    <w:p w14:paraId="48397EF8">
      <w:pPr>
        <w:rPr>
          <w:rFonts w:hint="default" w:ascii="Times New Roman" w:hAnsi="Times New Roman" w:cs="Times New Roman"/>
          <w:color w:val="auto"/>
          <w:lang w:val="en-US" w:eastAsia="zh-CN"/>
        </w:rPr>
      </w:pPr>
    </w:p>
    <w:p w14:paraId="19FC93F6">
      <w:pPr>
        <w:pStyle w:val="2"/>
        <w:rPr>
          <w:rFonts w:hint="default"/>
          <w:lang w:val="en-US" w:eastAsia="zh-CN"/>
        </w:rPr>
      </w:pPr>
    </w:p>
    <w:p w14:paraId="315A8784">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autoSpaceDE w:val="0"/>
        <w:autoSpaceDN w:val="0"/>
        <w:bidi w:val="0"/>
        <w:adjustRightInd w:val="0"/>
        <w:snapToGrid w:val="0"/>
        <w:spacing w:beforeLines="0" w:afterLines="0" w:line="560" w:lineRule="exact"/>
        <w:jc w:val="center"/>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专栏6 两大片区乡村振兴发展目标</w:t>
      </w:r>
    </w:p>
    <w:p w14:paraId="22960633">
      <w:pPr>
        <w:keepNext w:val="0"/>
        <w:keepLines w:val="0"/>
        <w:pageBreakBefore w:val="0"/>
        <w:widowControl w:val="0"/>
        <w:pBdr>
          <w:top w:val="single" w:color="auto" w:sz="4" w:space="0"/>
          <w:left w:val="single" w:color="auto" w:sz="4" w:space="0"/>
          <w:bottom w:val="single" w:color="auto" w:sz="4" w:space="0"/>
          <w:right w:val="single" w:color="auto" w:sz="4" w:space="0"/>
        </w:pBdr>
        <w:kinsoku/>
        <w:wordWrap/>
        <w:overflowPunct/>
        <w:topLinePunct w:val="0"/>
        <w:autoSpaceDE w:val="0"/>
        <w:autoSpaceDN w:val="0"/>
        <w:bidi w:val="0"/>
        <w:adjustRightInd w:val="0"/>
        <w:snapToGrid w:val="0"/>
        <w:spacing w:beforeLines="0" w:afterLines="0" w:line="56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到2030年，实现省级乡村振兴齐鲁样板全域覆盖，全面建成泊于镇龙山湖“创意农业”和崮山镇“经彩共富·圣果无花”两大示范片区，形成具有各具特色的“千万工程”经开区实践。邵家庄村现代宜居农房项目基本建成，省级清洁村庄实现全域覆盖，农村人居环境实现系统改善、整体提升。65%的村级集体经济组织收入超50万元，20%的村突破100万元，农村居民人均可支配收入达3.1万元以上，较“十四五”时期同比提升8%以上，形成资源活化、主体活跃、发展持续的集体经济新格局。</w:t>
      </w:r>
    </w:p>
    <w:p w14:paraId="048AE96D">
      <w:pPr>
        <w:pStyle w:val="4"/>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第三节 纵深推进城乡融合发展</w:t>
      </w:r>
      <w:bookmarkEnd w:id="28"/>
    </w:p>
    <w:p w14:paraId="01B0A7F7">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一、推动城乡基础设施互联互通</w:t>
      </w:r>
    </w:p>
    <w:p w14:paraId="3352A80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推动城乡交通道路连接、供电网络互联、客运物流一体，促进城乡基本公共服务标准统一、制度并轨。完善城乡交通网络，深入推进“四好农村路”建设，加快乡村产业路、旅游路、资源路建设，配套建设快速便捷换乘体系，构建全域1小时畅行网。推进城乡供水、供热、供气管网及电力、网络等基础设施同网同源。补齐农村物流基础设施短板，加快快递园区、快递分拨中心和集散中心等设施建设。完善县城商业网络体系，提升农村市场供应能力，城市社区打造“15分钟便民生活服务圈”，乡镇驻地、中心村打造“步行30分钟生活圈”。</w:t>
      </w:r>
    </w:p>
    <w:p w14:paraId="689B3245">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二、推动城乡要素平等双向流动</w:t>
      </w:r>
    </w:p>
    <w:p w14:paraId="1063655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以市场化配置机制为核心，以特色化流动载体为平台，以多元化保障体系为支撑，打造城乡要素双向流动“经开区样板”。实施要素破壁行动，构建人才“下沉+上行”双向流动闭环，激活土地“流转+增值”双向配置活力，拓宽资金“下沉+回流”双向流通渠道，搭建技术“下沉+转化”双向创新平台，构建数据“共享+赋能”双向流通体系，推动五大要素双向畅通。</w:t>
      </w:r>
    </w:p>
    <w:p w14:paraId="636388A0">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三、推动农民高质量就业创业</w:t>
      </w:r>
    </w:p>
    <w:p w14:paraId="09F7E67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打造城乡劳务协作平台，落实各项稳岗纾困政策，加大对中小微企业、农户的稳岗倾斜力度，稳定农民工就业增收。拓宽转移就业渠道，实施农村新型社区和特色产业园区“两区共建”，强化产业就业支撑，支持就地就近就业。实施新生代农民工职业技能提升行动，提高技能培训和就业服务力度，让更多农民工成长为高素质技能劳动者和稳定就业的产业工人。加大农民工灵活就业支持，创建农民工就业服务驿站，依托互联网平台发展零工经济，增加农民工就业有效供给。</w:t>
      </w:r>
    </w:p>
    <w:p w14:paraId="05625564">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四、深化新型城镇化内涵发展</w:t>
      </w:r>
    </w:p>
    <w:p w14:paraId="15F5EE5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坚持以人为核心，聚焦经开区产业人口集聚、镇域功能提升、公共服务均等与治理现代化，推动城镇化从“规模扩张”向“内涵提质”转变，打造宜居、韧性、智慧、低碳的新型城镇化经开区样板。</w:t>
      </w:r>
    </w:p>
    <w:p w14:paraId="67DEAA5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 xml:space="preserve">（一）深化以人为核心的市民化进程，推动公共服务优质共享 </w:t>
      </w:r>
    </w:p>
    <w:p w14:paraId="1DEC124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国标楷体" w:cs="Times New Roman"/>
          <w:color w:val="auto"/>
          <w:lang w:val="en-US" w:eastAsia="zh-CN"/>
        </w:rPr>
      </w:pPr>
      <w:r>
        <w:rPr>
          <w:rFonts w:hint="default" w:ascii="Times New Roman" w:hAnsi="Times New Roman" w:eastAsia="仿宋_GB2312" w:cs="Times New Roman"/>
          <w:color w:val="auto"/>
          <w:lang w:val="en-US" w:eastAsia="zh-CN"/>
        </w:rPr>
        <w:t>全面放宽落户限制，健全以居住证为载体的基本公共服务提供机制，推动农业转移人口及外来产业工人“愿落尽落、能享尽享”。实施“新经开人安居工程”，加大保障性租赁住房、人才公寓、产业工人宿舍供给力度，探索“租购补改”一体化住房保障模式，重点向经开区重点园区、重大项目周边倾斜。推动教育、医疗、养老、托育等公共服务资源按常住人口规模动态配置，深化集团化办学、医联体共建、跨区域医保结算，实现城乡基本公共服务标准统一、制度并轨、质量趋同。完善“人地钱挂钩”配套政策，建立财政转移支付、城镇建设用地新增指标与农业转移人口落户数量联动机制。到2030年，常住人口城镇化率稳步提升，基本公共服务覆盖率达100%，保障性租赁住房新增供给超</w:t>
      </w:r>
      <w:r>
        <w:rPr>
          <w:rFonts w:hint="eastAsia" w:ascii="Times New Roman" w:hAnsi="Times New Roman" w:cs="Times New Roman"/>
          <w:color w:val="auto"/>
          <w:lang w:val="en-US" w:eastAsia="zh-CN"/>
        </w:rPr>
        <w:t>251</w:t>
      </w:r>
      <w:r>
        <w:rPr>
          <w:rFonts w:hint="default" w:ascii="Times New Roman" w:hAnsi="Times New Roman" w:eastAsia="仿宋_GB2312" w:cs="Times New Roman"/>
          <w:color w:val="auto"/>
          <w:lang w:val="en-US" w:eastAsia="zh-CN"/>
        </w:rPr>
        <w:t>套。</w:t>
      </w:r>
    </w:p>
    <w:p w14:paraId="4D0BD9E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 xml:space="preserve">（二）强化产城人融合导向，优化城镇空间格局与功能载体 </w:t>
      </w:r>
    </w:p>
    <w:p w14:paraId="66EA5D8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立足经开区“制造强区”底色，推动产业布局、城镇功能、人口分布深度耦合。实施“镇域提质扩容”行动，高标准打造泊于镇、崮山镇两个中心镇，强化产业配套、商业服务、文体休闲功能，建设面向农村、辐射周边的区域性服务枢纽。推进“工业上楼”与“园区社区化”改造，在新都片区、滨海产业带等区域嵌入邻里中心、社区食堂、职工书屋等微空间，实现“15分钟职住生活圈”。深化港产城联动，依托威海港奔腾港区及临港产业带，布局临港服务街区、跨境商贸综合体与物流集散节点，推动港口流量转化为城市留量。探索TOD（公共交通导向开发）与EOD（生态环境导向开发）模式，以枢纽站点和生态廊道为轴心，重塑城镇空间结构。到2030年，建成3个产城融合示范社区，中心镇综合服务半径覆盖率达90%以上。</w:t>
      </w:r>
    </w:p>
    <w:p w14:paraId="1CBB3D5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 xml:space="preserve">（三）筑牢绿色低碳与韧性安全基底，提升城镇综合承载能力 </w:t>
      </w:r>
    </w:p>
    <w:p w14:paraId="58E970A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践行“双碳”目标与底线思维，系统构建安全、低碳、循环的城镇运行体系。全面推进海绵城市建设，完善“渗、滞、蓄、净、用、排”设施网络，新改扩建项目100%落实海绵城市指标。实施城镇生命线安全工程，升级燃气、供水、排水、热力、电力等地下管网监测预警系统，建设综合管廊与应急物资储备节点，提升极端天气、地质灾害、公共卫生事件的快速响应与恢复能力。推动城镇能源结构清洁化，推广分布式光伏、储能微电网、地热能利用，开展公共机构与老旧片区节能改造，探索近零碳社区试点。健全“平急两用”公共基础设施布局，推动体育场馆、学校、会展中心等具备应急转换功能。到2030年，海绵城市建成区面积达40%以上，城镇燃气、供水管网漏损率控制在5%以内。</w:t>
      </w:r>
    </w:p>
    <w:p w14:paraId="35EC557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b/>
          <w:bCs w:val="0"/>
          <w:color w:val="auto"/>
          <w:lang w:val="en-US" w:eastAsia="zh-CN"/>
        </w:rPr>
      </w:pPr>
      <w:r>
        <w:rPr>
          <w:rFonts w:hint="default" w:ascii="Times New Roman" w:hAnsi="Times New Roman" w:eastAsia="仿宋_GB2312" w:cs="Times New Roman"/>
          <w:b/>
          <w:bCs w:val="0"/>
          <w:color w:val="auto"/>
          <w:lang w:val="en-US" w:eastAsia="zh-CN"/>
        </w:rPr>
        <w:t xml:space="preserve">（四）创新体制机制与多元协同治理，激发城镇化内生动力 </w:t>
      </w:r>
    </w:p>
    <w:p w14:paraId="32663F5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以改革破题、以数字赋能、以多元共治为抓手，构建现代化城镇治理体系。深化“城市体检</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城市更新</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长效管理”闭环机制，常态化开展房屋结构、基础设施、公共服务、生态环境等维度体检，建立问题清单与项目库，推动“针灸式”微更新替代大拆大建。创新城镇化投融资模式，规范运用政府和社会资本合作（PPP）新机制，引导保险资金、产业基金参与基础设施与公共服务项目，探索发行新型城镇化专项债券。拓展“网格化+数字化+信用化”治理场景，打通公安、住建、城管、应急、民政等部门数据壁垒，构建“一网统管、一屏观全域、一键达基层”的智治中枢。健全“政府引导、企业参与、社会组织协同、居民自治”的多元共治格局，培育社区规划师、乡村CEO、物业合伙人等专业力量，提升城镇精细化运营水平。</w:t>
      </w:r>
    </w:p>
    <w:p w14:paraId="33B4A2C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5BF038B7">
      <w:pPr>
        <w:kinsoku/>
        <w:spacing w:beforeLines="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br w:type="page"/>
      </w:r>
    </w:p>
    <w:p w14:paraId="1BB56D80">
      <w:pPr>
        <w:pStyle w:val="3"/>
        <w:kinsoku/>
        <w:bidi w:val="0"/>
        <w:spacing w:before="0" w:beforeLines="0" w:after="0" w:afterLines="0" w:line="560" w:lineRule="exact"/>
        <w:rPr>
          <w:rFonts w:hint="default" w:ascii="Times New Roman" w:hAnsi="Times New Roman" w:cs="Times New Roman"/>
          <w:color w:val="auto"/>
          <w:sz w:val="32"/>
          <w:szCs w:val="32"/>
          <w:lang w:val="en-US" w:eastAsia="zh-CN"/>
        </w:rPr>
      </w:pPr>
      <w:bookmarkStart w:id="29" w:name="_Toc29174"/>
      <w:r>
        <w:rPr>
          <w:rFonts w:hint="default" w:ascii="Times New Roman" w:hAnsi="Times New Roman" w:cs="Times New Roman"/>
          <w:color w:val="auto"/>
          <w:sz w:val="32"/>
          <w:szCs w:val="32"/>
          <w:lang w:val="en-US" w:eastAsia="zh-CN"/>
        </w:rPr>
        <w:t>第六章 改革攻坚优环境 激发活力促跃升​</w:t>
      </w:r>
      <w:bookmarkEnd w:id="29"/>
    </w:p>
    <w:p w14:paraId="1B3C5BD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p>
    <w:p w14:paraId="7889277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深入实施市场活力和开放能级提升工程，以经济体制改革为牵引，聚焦关键性、战略性重大问题先行探索突破，确保高质量发展行稳致远，为现代化强区建设注入强劲动力。</w:t>
      </w:r>
    </w:p>
    <w:p w14:paraId="1E0817B8">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0" w:name="_Toc22468"/>
      <w:r>
        <w:rPr>
          <w:rFonts w:hint="default" w:ascii="Times New Roman" w:hAnsi="Times New Roman" w:cs="Times New Roman"/>
          <w:color w:val="auto"/>
          <w:lang w:val="en-US" w:eastAsia="zh-CN"/>
        </w:rPr>
        <w:t>第一节 深化国企改革激发内生动力</w:t>
      </w:r>
      <w:bookmarkEnd w:id="30"/>
    </w:p>
    <w:p w14:paraId="13FA5AB8">
      <w:pPr>
        <w:pStyle w:val="6"/>
        <w:keepNext w:val="0"/>
        <w:keepLines w:val="0"/>
        <w:pageBreakBefore w:val="0"/>
        <w:widowControl/>
        <w:kinsoku/>
        <w:wordWrap/>
        <w:overflowPunct/>
        <w:topLinePunct w:val="0"/>
        <w:autoSpaceDE/>
        <w:autoSpaceDN/>
        <w:bidi w:val="0"/>
        <w:adjustRightInd/>
        <w:snapToGrid/>
        <w:spacing w:before="0" w:beforeLines="0" w:afterLines="0" w:line="560" w:lineRule="exact"/>
        <w:ind w:firstLine="641" w:firstLineChars="0"/>
        <w:jc w:val="both"/>
        <w:textAlignment w:val="auto"/>
        <w:rPr>
          <w:rFonts w:hint="default" w:ascii="Times New Roman" w:hAnsi="Times New Roman" w:eastAsia="仿宋_GB2312" w:cs="Times New Roman"/>
          <w:color w:val="auto"/>
          <w:lang w:val="en-US" w:eastAsia="zh-CN"/>
        </w:rPr>
      </w:pPr>
      <w:r>
        <w:rPr>
          <w:rFonts w:hint="eastAsia" w:ascii="仿宋_GB2312" w:hAnsi="仿宋_GB2312" w:eastAsia="仿宋_GB2312" w:cs="仿宋_GB2312"/>
          <w:b w:val="0"/>
          <w:bCs w:val="0"/>
          <w:color w:val="auto"/>
          <w:lang w:val="en-US" w:eastAsia="zh-CN"/>
        </w:rPr>
        <w:t>深化区属国企改革，优化国有经济布局结构，加快构建现代企业治理体系，稳步推进市场化转型发展，更好地服务区域经济社会发展大局。进一步明晰主责主业，引导国有资本向主业企业、优势企业集聚，培育做强核心业务，提升自主“造血”能力。加强国有资产盘活利用，大力推进国企招商，探索从“空间租赁”向“产业培育”招商转型，实现资产变效益的目标。健全市场化选人用工机制，优化全员绩效考核体系，打造高素质专业化国企人才队伍。构建新型经营责任制，建立以经营业绩为核心的薪酬决定机制，激发干事创业活力。加强国企经营风险管控，守牢安全发展“一排底线”，落实城投公司举债提级管理要求，严防债务逾期风险，</w:t>
      </w:r>
      <w:r>
        <w:rPr>
          <w:rFonts w:hint="eastAsia" w:ascii="仿宋_GB2312" w:hAnsi="仿宋_GB2312" w:cs="仿宋_GB2312"/>
          <w:b w:val="0"/>
          <w:bCs w:val="0"/>
          <w:color w:val="auto"/>
          <w:lang w:val="en-US" w:eastAsia="zh-CN"/>
        </w:rPr>
        <w:t>强化</w:t>
      </w:r>
      <w:r>
        <w:rPr>
          <w:rFonts w:hint="eastAsia" w:ascii="仿宋_GB2312" w:hAnsi="仿宋_GB2312" w:eastAsia="仿宋_GB2312" w:cs="仿宋_GB2312"/>
          <w:b w:val="0"/>
          <w:bCs w:val="0"/>
          <w:color w:val="auto"/>
          <w:lang w:val="en-US" w:eastAsia="zh-CN"/>
        </w:rPr>
        <w:t>企业内控管理，</w:t>
      </w:r>
      <w:r>
        <w:rPr>
          <w:rFonts w:hint="eastAsia" w:ascii="仿宋_GB2312" w:hAnsi="仿宋_GB2312" w:cs="仿宋_GB2312"/>
          <w:b w:val="0"/>
          <w:bCs w:val="0"/>
          <w:color w:val="auto"/>
          <w:lang w:val="en-US" w:eastAsia="zh-CN"/>
        </w:rPr>
        <w:t>系统制定</w:t>
      </w:r>
      <w:r>
        <w:rPr>
          <w:rFonts w:hint="eastAsia" w:ascii="仿宋_GB2312" w:hAnsi="仿宋_GB2312" w:eastAsia="仿宋_GB2312" w:cs="仿宋_GB2312"/>
          <w:b w:val="0"/>
          <w:bCs w:val="0"/>
          <w:color w:val="auto"/>
          <w:lang w:val="en-US" w:eastAsia="zh-CN"/>
        </w:rPr>
        <w:t>市场化经营合规制度，提高抗风险经营能力。</w:t>
      </w:r>
      <w:r>
        <w:rPr>
          <w:rFonts w:hint="eastAsia" w:ascii="仿宋_GB2312" w:hAnsi="仿宋_GB2312" w:eastAsia="仿宋_GB2312" w:cs="仿宋_GB2312"/>
          <w:color w:val="auto"/>
          <w:lang w:val="en-US" w:eastAsia="zh-CN"/>
        </w:rPr>
        <w:t>落实“三个区分开来”要求，保护干部职工干事创业积极性，一体推进不敢腐、不能腐、不想腐体制机制建设。</w:t>
      </w:r>
    </w:p>
    <w:p w14:paraId="18AB1FEC">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1" w:name="_Toc11848"/>
      <w:r>
        <w:rPr>
          <w:rFonts w:hint="default" w:ascii="Times New Roman" w:hAnsi="Times New Roman" w:cs="Times New Roman"/>
          <w:color w:val="auto"/>
          <w:lang w:val="en-US" w:eastAsia="zh-CN"/>
        </w:rPr>
        <w:t>第二节 实施民企培优提质增效行动</w:t>
      </w:r>
      <w:bookmarkEnd w:id="31"/>
    </w:p>
    <w:p w14:paraId="0B90F5A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和落实“两个毫不动摇”，促进各种所有制经济优势互补、共同发展。开展民营经济活力提升计划，实施民营经济促进条例，健全支持政策体系，持续推进“降门槛、扩领域”，提高工业用地、新增能耗支持民间投资项目比重，强化产权执法司法保护，从制度上保障公平参与市场竞争、平等使用生产要素、有效保护合法权益。深入开展服务民营企业专项行动，完善政企常态化沟通交流机制，构建亲清统一的新型政商关系。</w:t>
      </w:r>
      <w:r>
        <w:rPr>
          <w:rFonts w:hint="eastAsia" w:ascii="Times New Roman" w:hAnsi="Times New Roman" w:cs="Times New Roman"/>
          <w:color w:val="auto"/>
          <w:lang w:val="en-US" w:eastAsia="zh-CN"/>
        </w:rPr>
        <w:t>加强</w:t>
      </w:r>
      <w:r>
        <w:rPr>
          <w:rFonts w:hint="default" w:ascii="Times New Roman" w:hAnsi="Times New Roman" w:eastAsia="仿宋_GB2312" w:cs="Times New Roman"/>
          <w:color w:val="auto"/>
          <w:lang w:val="en-US" w:eastAsia="zh-CN"/>
        </w:rPr>
        <w:t>国企民企协同发展，支持中小企业和个体工商户发展。完善中国特色现代企业制度，弘扬企业家精神和儒商文化，大力培养年轻一代企业家，一体推进清廉、法治、诚信企业建设，打造世界一流企业、百年企业。</w:t>
      </w:r>
    </w:p>
    <w:p w14:paraId="023C5BB3">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2" w:name="_Toc32547"/>
      <w:r>
        <w:rPr>
          <w:rFonts w:hint="default" w:ascii="Times New Roman" w:hAnsi="Times New Roman" w:cs="Times New Roman"/>
          <w:color w:val="auto"/>
          <w:lang w:val="en-US" w:eastAsia="zh-CN"/>
        </w:rPr>
        <w:t>第三节 创优市场化法治化国际化环境</w:t>
      </w:r>
      <w:bookmarkEnd w:id="32"/>
    </w:p>
    <w:p w14:paraId="04F6EB75">
      <w:pPr>
        <w:pStyle w:val="6"/>
        <w:keepNext w:val="0"/>
        <w:keepLines w:val="0"/>
        <w:widowControl w:val="0"/>
        <w:overflowPunct w:val="0"/>
        <w:spacing w:beforeLines="0" w:afterLines="0"/>
        <w:ind w:firstLine="640" w:firstLineChars="200"/>
        <w:jc w:val="both"/>
        <w:rPr>
          <w:rFonts w:hint="default" w:ascii="Times New Roman" w:hAnsi="Times New Roman" w:cs="Times New Roman"/>
          <w:color w:val="auto"/>
        </w:rPr>
      </w:pPr>
      <w:r>
        <w:rPr>
          <w:rFonts w:hint="default" w:ascii="Times New Roman" w:hAnsi="Times New Roman" w:eastAsia="仿宋_GB2312" w:cs="Times New Roman"/>
          <w:color w:val="auto"/>
          <w:lang w:val="en-US" w:eastAsia="zh-CN"/>
        </w:rPr>
        <w:t>深化营商环境创新提升行动，着力为全社会创业创新营造稳定、公平、透明、可预期的环境。推进政务服务集成创新，加快数字政府建设一体化综合改革，全面推广现代智慧“政务综合体”，深入推进“高效办成一件事”，加快企业准入准营便利化改革，深化“无证明之区”建设，推动高频事项跨域通办。推进惠企政策“直达快享”“免申即享”，塑强“民事无忧·企事有解·政事高效”服务品牌。健全清理拖欠企业账款长效机制，强化涉企收费长效监管，规范涉企执法，防止和纠正违规异地执法、趋利性执法，推进“无感监管”“无事不扰”。加强涉外法律服务平台和涉外法治队伍建设，提升国际商事调解、仲裁、诉讼等效能。健全社会信用体系，创新“信用+”应用场景，加快建设信用经开区。全面落实国家经济调控政策，强化发展规划战略导向作用，促进财税、金融、产业等政策协同发力，持续稳增长、稳就业、稳预期。</w:t>
      </w:r>
      <w:bookmarkStart w:id="33" w:name="_Toc2762"/>
    </w:p>
    <w:p w14:paraId="6DE99DFC">
      <w:pPr>
        <w:pStyle w:val="3"/>
        <w:widowControl w:val="0"/>
        <w:kinsoku/>
        <w:bidi w:val="0"/>
        <w:spacing w:before="0" w:beforeLines="0" w:after="0" w:afterLines="0" w:line="560" w:lineRule="exact"/>
        <w:jc w:val="center"/>
        <w:rPr>
          <w:rFonts w:hint="default" w:ascii="Times New Roman" w:hAnsi="Times New Roman" w:cs="Times New Roman"/>
          <w:color w:val="auto"/>
          <w:sz w:val="32"/>
          <w:szCs w:val="32"/>
        </w:rPr>
      </w:pPr>
      <w:r>
        <w:rPr>
          <w:rFonts w:hint="default" w:ascii="Times New Roman" w:hAnsi="Times New Roman" w:cs="Times New Roman"/>
          <w:color w:val="auto"/>
          <w:sz w:val="32"/>
          <w:szCs w:val="32"/>
        </w:rPr>
        <w:t>第</w:t>
      </w:r>
      <w:r>
        <w:rPr>
          <w:rFonts w:hint="default" w:ascii="Times New Roman" w:hAnsi="Times New Roman" w:cs="Times New Roman"/>
          <w:color w:val="auto"/>
          <w:sz w:val="32"/>
          <w:szCs w:val="32"/>
          <w:lang w:val="en-US" w:eastAsia="zh-CN"/>
        </w:rPr>
        <w:t>七</w:t>
      </w:r>
      <w:r>
        <w:rPr>
          <w:rFonts w:hint="default" w:ascii="Times New Roman" w:hAnsi="Times New Roman" w:cs="Times New Roman"/>
          <w:color w:val="auto"/>
          <w:sz w:val="32"/>
          <w:szCs w:val="32"/>
        </w:rPr>
        <w:t>章 向海图强拓开放 融通四海促共赢</w:t>
      </w:r>
      <w:bookmarkEnd w:id="33"/>
    </w:p>
    <w:p w14:paraId="39C9FC9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3EE9E10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度融入国家高水平开放大局，稳步推进制度型开放，有序扩大服务领域自主开放，推动贸易投资一体化发展，深化中韩跨境合作机制改革，完善国际化综合服务体系，助力共建“一带一路”高质量发展，全力打造高水平对外开放新高地。</w:t>
      </w:r>
    </w:p>
    <w:p w14:paraId="11772681">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4" w:name="_Toc15070"/>
      <w:r>
        <w:rPr>
          <w:rFonts w:hint="default" w:ascii="Times New Roman" w:hAnsi="Times New Roman" w:cs="Times New Roman"/>
          <w:color w:val="auto"/>
          <w:lang w:val="en-US" w:eastAsia="zh-CN"/>
        </w:rPr>
        <w:t>第一节 深化开放协同创新区域联动</w:t>
      </w:r>
      <w:bookmarkEnd w:id="34"/>
    </w:p>
    <w:p w14:paraId="1A1E27B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当中韩合作先行先试“试验田”。主动融入自贸试验区提升战略与威海片区申建大局，高标准建设中韩自贸区地方经济合作核心区，深化与仁川双边地方经济合作机制，在投资准入、贸易创新、物流通道建设、通关监管服务、科技人文交流等领域开展制度创新，争取更多省级以上改革试点和示范项目落地。积极承办国家、省、市级中韩各领域重点活动，搭建高水平交流合作平台。聚焦服务业扩大开放，在医疗美容、增值电信、股权投资等领域先行先试，打造对韩开放合作标志性平台。加大对韩开放准入，实现单点突破、由点及面，推动创新型项目落地。到2030年，形成可复制推广的自贸经验或制度创新成果10项以上。</w:t>
      </w:r>
    </w:p>
    <w:p w14:paraId="6B4764A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耕区域协调发展布局。融入全市与京津冀、长三角、粤港澳等重点区域互动合作，承接优质产业与项目转移。依托对日韩口岸优势，积极参与沿黄陆海新通道建设，打造沿黄流域对日韩重要出海口。积极融入胶东经济圈一体化发展进程，加强与胶东五市开发区的合作交流，落实胶东半岛城市群区域战略布局，深化威海港至青岛港“青威一港通”运行模式，推动跨港区货物高效转运，紧密跟进威海港与龙眼港整合，组织资源配置，加快构筑联通日韩国际市场和国内市场的海上黄金通道。</w:t>
      </w:r>
    </w:p>
    <w:p w14:paraId="58EC4031">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5" w:name="_Toc2166"/>
      <w:r>
        <w:rPr>
          <w:rFonts w:hint="default" w:ascii="Times New Roman" w:hAnsi="Times New Roman" w:cs="Times New Roman"/>
          <w:color w:val="auto"/>
          <w:lang w:val="en-US" w:eastAsia="zh-CN"/>
        </w:rPr>
        <w:t>第二节 推动贸易创新促进外贸提质</w:t>
      </w:r>
      <w:bookmarkEnd w:id="35"/>
    </w:p>
    <w:p w14:paraId="1B8447F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推动货物贸易优化升级。积极有效应对全球贸易波动风险，助力企业保市场、增订单、稳份额，推动全区外贸实现稳量提质。推动招商船厂、芜船船舶等企业扩大高端船型出口规模，支持泓淋电力、日月新、豪顿华等骨干企业拓展国际市场。到2030年，全区有进出口实绩的贸易企业达1</w:t>
      </w:r>
      <w:r>
        <w:rPr>
          <w:rFonts w:hint="eastAsia" w:ascii="Times New Roman" w:hAnsi="Times New Roman" w:cs="Times New Roman"/>
          <w:color w:val="auto"/>
          <w:lang w:val="en-US" w:eastAsia="zh-CN"/>
        </w:rPr>
        <w:t>3</w:t>
      </w:r>
      <w:r>
        <w:rPr>
          <w:rFonts w:hint="default" w:ascii="Times New Roman" w:hAnsi="Times New Roman" w:eastAsia="仿宋_GB2312" w:cs="Times New Roman"/>
          <w:color w:val="auto"/>
          <w:lang w:val="en-US" w:eastAsia="zh-CN"/>
        </w:rPr>
        <w:t>00家，外贸进出口过亿元企业达</w:t>
      </w:r>
      <w:r>
        <w:rPr>
          <w:rFonts w:hint="eastAsia" w:ascii="Times New Roman" w:hAnsi="Times New Roman" w:cs="Times New Roman"/>
          <w:color w:val="auto"/>
          <w:lang w:val="en-US" w:eastAsia="zh-CN"/>
        </w:rPr>
        <w:t>6</w:t>
      </w:r>
      <w:r>
        <w:rPr>
          <w:rFonts w:hint="default" w:ascii="Times New Roman" w:hAnsi="Times New Roman" w:eastAsia="仿宋_GB2312" w:cs="Times New Roman"/>
          <w:color w:val="auto"/>
          <w:lang w:val="en-US" w:eastAsia="zh-CN"/>
        </w:rPr>
        <w:t>0家，船舶与海工装备产业进出口额突破100亿元。积极培育壮大外贸新动能，支持国有企业整合优质资源，打造全产业链国际生鲜基地，到2030年，国际生鲜产业贸易额突破30亿元。加强招商引贸成效，加强优质供应链企业、物流及分拨中心项目招引，助力韩国THN</w:t>
      </w:r>
      <w:r>
        <w:rPr>
          <w:rFonts w:hint="eastAsia" w:ascii="仿宋_GB2312" w:hAnsi="仿宋_GB2312" w:cs="仿宋_GB2312"/>
          <w:color w:val="auto"/>
          <w:lang w:val="en-US" w:eastAsia="zh-CN"/>
        </w:rPr>
        <w:t>全球统合中心</w:t>
      </w:r>
      <w:r>
        <w:rPr>
          <w:rFonts w:hint="default" w:ascii="Times New Roman" w:hAnsi="Times New Roman" w:eastAsia="仿宋_GB2312" w:cs="Times New Roman"/>
          <w:color w:val="auto"/>
          <w:lang w:val="en-US" w:eastAsia="zh-CN"/>
        </w:rPr>
        <w:t>稳步落地见效。发挥华岳等企业压舱石作用，稳步提升原油等大宗商品进口规模；依托威海港，探索开展对日韩煤炭转口、</w:t>
      </w:r>
      <w:r>
        <w:rPr>
          <w:rFonts w:hint="eastAsia" w:ascii="仿宋_GB2312" w:hAnsi="仿宋_GB2312" w:cs="仿宋_GB2312"/>
          <w:color w:val="auto"/>
          <w:lang w:val="en-US" w:eastAsia="zh-CN"/>
        </w:rPr>
        <w:t>铜精矿、</w:t>
      </w:r>
      <w:r>
        <w:rPr>
          <w:rFonts w:hint="default" w:ascii="Times New Roman" w:hAnsi="Times New Roman" w:eastAsia="仿宋_GB2312" w:cs="Times New Roman"/>
          <w:color w:val="auto"/>
          <w:lang w:val="en-US" w:eastAsia="zh-CN"/>
        </w:rPr>
        <w:t>石油焦及沥青贸易，构建规模化、多元化贸易格局，到2030年，大宗商品贸易额达100亿元。</w:t>
      </w:r>
    </w:p>
    <w:p w14:paraId="112646E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增强服务贸易发展活力。深化服务贸易创新发展试点，加快推进生产性服务贸易发展，推动服务外包转型升级。依托日月新半导体、招商工业威海船厂等龙头企业，重点发展研发设计、产品测试、维护维修等高附加值服务贸易。支持中外运、泛中等企业完善“海运+空运+铁路+公路”多式联运体系，拓展国际化运输服务。推动瑞翔电子、大企汽车等企业提升加工贸易层级。以智慧谷服务贸易产业园为核心载体，聚焦数字经济、工业设计、时尚创意等特色产业，深化对韩服务贸易合作，积极争创中韩服务贸易国际合作园区，打造服务贸易创新发展新高地。依托中国国际服务贸易交易会、中国国际进口博览会等重点平台，瞄准国内外领军企业，加大服务贸易项目招商力度。到2030年，全区服务贸易进出口企业达60家，</w:t>
      </w:r>
      <w:r>
        <w:rPr>
          <w:rFonts w:hint="eastAsia" w:ascii="仿宋_GB2312" w:hAnsi="仿宋_GB2312" w:cs="仿宋_GB2312"/>
          <w:color w:val="auto"/>
          <w:lang w:val="en-US" w:eastAsia="zh-CN"/>
        </w:rPr>
        <w:t>服务</w:t>
      </w:r>
      <w:r>
        <w:rPr>
          <w:rFonts w:hint="default" w:ascii="Times New Roman" w:hAnsi="Times New Roman" w:eastAsia="仿宋_GB2312" w:cs="Times New Roman"/>
          <w:color w:val="auto"/>
          <w:lang w:val="en-US" w:eastAsia="zh-CN"/>
        </w:rPr>
        <w:t>进出口额过亿元企业超10家。</w:t>
      </w:r>
    </w:p>
    <w:p w14:paraId="7DC8DB7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推动内外贸一体化发展。统筹利用国内国际两个市场、创新内外贸一体化融合发展模式，助力国内国际双循环畅通。支持外贸企业拓展国内市场，推动外贸企业与阿里巴巴国际站、中国制造网等电商平台、连锁商业企业合作，搭建出口转内销平台，设立线上线下外贸产品内销专区。鼓励内贸企业、电商企业及生产型企业走国际化经营道路，依托跨境电商拓展国际营销渠道。强化新兴市场开拓，在巩固韩日、欧美传统市场的基础上，持续拓展南美、非洲、中东、俄罗斯等新兴市场。组织</w:t>
      </w:r>
      <w:r>
        <w:rPr>
          <w:rFonts w:hint="eastAsia" w:ascii="仿宋_GB2312" w:hAnsi="仿宋_GB2312" w:eastAsia="仿宋_GB2312" w:cs="仿宋_GB2312"/>
          <w:color w:val="auto"/>
          <w:lang w:val="en-US" w:eastAsia="zh-CN"/>
        </w:rPr>
        <w:t>规上内贸</w:t>
      </w:r>
      <w:r>
        <w:rPr>
          <w:rFonts w:hint="eastAsia" w:ascii="仿宋_GB2312" w:hAnsi="仿宋_GB2312" w:cs="仿宋_GB2312"/>
          <w:color w:val="auto"/>
          <w:lang w:val="en-US" w:eastAsia="zh-CN"/>
        </w:rPr>
        <w:t>工业</w:t>
      </w:r>
      <w:r>
        <w:rPr>
          <w:rFonts w:hint="eastAsia" w:ascii="仿宋_GB2312" w:hAnsi="仿宋_GB2312" w:eastAsia="仿宋_GB2312" w:cs="仿宋_GB2312"/>
          <w:color w:val="auto"/>
          <w:lang w:val="en-US" w:eastAsia="zh-CN"/>
        </w:rPr>
        <w:t>企业</w:t>
      </w:r>
      <w:r>
        <w:rPr>
          <w:rFonts w:hint="default" w:ascii="Times New Roman" w:hAnsi="Times New Roman" w:eastAsia="仿宋_GB2312" w:cs="Times New Roman"/>
          <w:color w:val="auto"/>
          <w:lang w:val="en-US" w:eastAsia="zh-CN"/>
        </w:rPr>
        <w:t>、“小巨人”企业、“专精特新”中小企业参加国内外重点展会，全力拓展国际市场。推进同线同标同质，支持企业培育“三同”产品。培育壮大与国际接轨的韩国商品交易市场，到2030年，年交易额达100亿元。</w:t>
      </w:r>
    </w:p>
    <w:p w14:paraId="5F00918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主动融入共建“一带一路”。深化与共建国家经贸合作，积极参与高质量共建“一带一路”八项行动，支持企业“走出去”参与重点国家、主要领域投资合作，推动外贸外资外经融合发展。引导泓淋电力等境外投资规模大、设施完善的企业，设立兼具贸易采购、“双招双引”功能的推介平台和产品展销中心，推动对外投资业务链与产业链、供应链深度融合。探索与贸易往来密切国家双向设立展馆，实现资源互输、商品畅通。建立常态化市场开拓机制，每年组织企业参加各级经贸合作推介、重点国家市场开拓活动不少于100场。</w:t>
      </w:r>
    </w:p>
    <w:p w14:paraId="509FCA6E">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6" w:name="_Toc16736"/>
      <w:r>
        <w:rPr>
          <w:rFonts w:hint="default" w:ascii="Times New Roman" w:hAnsi="Times New Roman" w:cs="Times New Roman"/>
          <w:color w:val="auto"/>
          <w:lang w:val="en-US" w:eastAsia="zh-CN"/>
        </w:rPr>
        <w:t>第三节 强化双向合作重塑引资优势</w:t>
      </w:r>
      <w:bookmarkEnd w:id="36"/>
    </w:p>
    <w:p w14:paraId="5DC5179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实施链式精准招商。聚力构建现代化产业体系，打造主导与特色产业链。做优船舶与海工装备产业链招商，依托龙头企业吸引头部资源，提高关键零部件本地配套率；做强新一代信息技术产业链招商，放大出口与整机优势，壮大集成电路，布局智算与人工智能，打造完整产业生态；做强高端装备产业链招商，围绕骨干企业招引高端数控、新材料加工项目，深化产学研合作；做大新能源产业链招商，以海上风电为引领，联动央企资源，拓展储能、充电设备等配套产业链。同步发挥国企及园区主体效能，依托6大园区载体精准招商选商，提升产业集聚度。深挖国企场景资源，在文旅、智慧城市、园区运营等领域开放应用场景，创新“租金换投资”模式，提升落地服务效能，到2030年，动态储备在谈产业项目30个以上，主导产业新引进10亿元以上项目10个以上、30亿元以上重大项目2个以上。</w:t>
      </w:r>
    </w:p>
    <w:p w14:paraId="7D6C98C2">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推动外资集聚增效。深化对韩招商合作，加强与中国韩国商会、仁川市、韩国京畿科技园等机构对接，建立合作招商机制，拓宽韩资项目信息渠道。围绕电子信息、商贸物流等产业，加大对韩招商推介力度，组织赴韩专题经贸活动，储备优质韩资项目，打造中韩产业合作引领区。紧盯重点外资项目到账，以华能半岛北海上风电、韩国THN汽车线束等项目为抓手，储备一批优质外资项目，挖掘存量骨干企业产业链资源，跟踪服务重点在谈项目，推动赣锋锂业储能、浒辰科技虚拟电厂等项目签约落地。到2030年，新引进500万美元以上外资产业项目15个以上、1000万美元以上外资产业项目5个以上，韩资项目占比不低于60%。</w:t>
      </w:r>
    </w:p>
    <w:p w14:paraId="4E84791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服务外资企业膨胀发展。重点聚焦主导产业，分析产业链关键环节和技术短板，跟踪掌握存量外资企业核心产品和服务，挖掘产业链供应链资源，实施精准延链、补链。推动豪顿华、贝卡尔特等骨干企业吸引上下游企业融入本地产业体系。推动日月新、电美世等重点企业扩大产能、加大研发投入，提升核心竞争力和品牌影响力；支持高德船艇加快设备更新和技术升级，实现产品高端化、品牌化发展。到2030年，全区外资企业数量超500家，韩资企业数量超400家。</w:t>
      </w:r>
    </w:p>
    <w:p w14:paraId="2061134A">
      <w:pPr>
        <w:pStyle w:val="6"/>
        <w:widowControl w:val="0"/>
        <w:kinsoku/>
        <w:overflowPunct w:val="0"/>
        <w:spacing w:before="0" w:beforeLines="0" w:afterLines="0" w:line="560" w:lineRule="exact"/>
        <w:jc w:val="both"/>
        <w:rPr>
          <w:rFonts w:hint="default" w:ascii="Times New Roman" w:hAnsi="Times New Roman" w:cs="Times New Roman"/>
          <w:color w:val="auto"/>
        </w:rPr>
      </w:pPr>
      <w:r>
        <w:rPr>
          <w:rFonts w:hint="default" w:ascii="Times New Roman" w:hAnsi="Times New Roman" w:eastAsia="仿宋_GB2312" w:cs="Times New Roman"/>
          <w:color w:val="auto"/>
          <w:lang w:val="en-US" w:eastAsia="zh-CN"/>
        </w:rPr>
        <w:t>鼓励企业稳健出海。引导企业用好RCEP等国际经贸规则，优化对外投资产业布局，提升应对外部环境变化和市场竞争的能力。鼓励泓淋电力、世一电子等骨干企业提高境内设备、关键部件和原材料采购比例，将境外基地打造为“威海制造”的延伸窗口和展示平台。引导顺晟针织、星驰服装在风险可控前提下，稳步扩大东南亚厂区规模；支持建尼科技拓展非洲市场，带动实物出口、争取优质资源回运；鼓励广瑞电力、昊坤达等企业开拓韩国市场，推动“服务出海”。健全海外综合服务体系，建立境外投资企业数据库，加强对外合作风险防范预警，全方位服务企业“走出去”。力争“十五五”末，有效实施境外投资项目10个以上，总投资超1亿美元。</w:t>
      </w:r>
      <w:r>
        <w:rPr>
          <w:rFonts w:hint="default" w:ascii="Times New Roman" w:hAnsi="Times New Roman" w:cs="Times New Roman"/>
          <w:color w:val="auto"/>
        </w:rPr>
        <w:br w:type="page"/>
      </w:r>
    </w:p>
    <w:p w14:paraId="433897BF">
      <w:pPr>
        <w:pStyle w:val="3"/>
        <w:kinsoku/>
        <w:bidi w:val="0"/>
        <w:spacing w:before="0" w:beforeLines="0" w:after="0" w:afterLines="0" w:line="560" w:lineRule="exact"/>
        <w:rPr>
          <w:rFonts w:hint="default" w:ascii="Times New Roman" w:hAnsi="Times New Roman" w:cs="Times New Roman"/>
          <w:color w:val="auto"/>
          <w:sz w:val="32"/>
          <w:szCs w:val="32"/>
          <w:lang w:eastAsia="zh-CN"/>
        </w:rPr>
      </w:pPr>
      <w:bookmarkStart w:id="37" w:name="_Toc16384"/>
      <w:r>
        <w:rPr>
          <w:rFonts w:hint="default" w:ascii="Times New Roman" w:hAnsi="Times New Roman" w:cs="Times New Roman"/>
          <w:color w:val="auto"/>
          <w:sz w:val="32"/>
          <w:szCs w:val="32"/>
        </w:rPr>
        <w:t>第</w:t>
      </w:r>
      <w:r>
        <w:rPr>
          <w:rFonts w:hint="default" w:ascii="Times New Roman" w:hAnsi="Times New Roman" w:cs="Times New Roman"/>
          <w:color w:val="auto"/>
          <w:sz w:val="32"/>
          <w:szCs w:val="32"/>
          <w:lang w:val="en-US" w:eastAsia="zh-CN"/>
        </w:rPr>
        <w:t>八</w:t>
      </w:r>
      <w:r>
        <w:rPr>
          <w:rFonts w:hint="default" w:ascii="Times New Roman" w:hAnsi="Times New Roman" w:cs="Times New Roman"/>
          <w:color w:val="auto"/>
          <w:sz w:val="32"/>
          <w:szCs w:val="32"/>
        </w:rPr>
        <w:t>章</w:t>
      </w:r>
      <w:r>
        <w:rPr>
          <w:rFonts w:hint="default" w:ascii="Times New Roman" w:hAnsi="Times New Roman" w:cs="Times New Roman"/>
          <w:color w:val="auto"/>
          <w:sz w:val="32"/>
          <w:szCs w:val="32"/>
          <w:lang w:val="en-US" w:eastAsia="zh-CN"/>
        </w:rPr>
        <w:t xml:space="preserve"> </w:t>
      </w:r>
      <w:r>
        <w:rPr>
          <w:rFonts w:hint="default" w:ascii="Times New Roman" w:hAnsi="Times New Roman" w:cs="Times New Roman"/>
          <w:color w:val="auto"/>
          <w:sz w:val="32"/>
          <w:szCs w:val="32"/>
        </w:rPr>
        <w:t xml:space="preserve"> 向绿而行优底色 低碳转型筑美丽</w:t>
      </w:r>
      <w:bookmarkEnd w:id="37"/>
    </w:p>
    <w:p w14:paraId="0298CDB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11446D1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以降碳、减污、扩绿、增长协同推进为核心路径，统筹筑牢区域生态安全屏障、提升环境质量、构建绿色低碳循环发展经济体系，为经济高质量发展注入绿色动能，全力打造全市绿色低碳高质量发展示范区。</w:t>
      </w:r>
    </w:p>
    <w:p w14:paraId="43ED1184">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8" w:name="_Toc23737"/>
      <w:r>
        <w:rPr>
          <w:rFonts w:hint="default" w:ascii="Times New Roman" w:hAnsi="Times New Roman" w:cs="Times New Roman"/>
          <w:color w:val="auto"/>
          <w:lang w:val="en-US" w:eastAsia="zh-CN"/>
        </w:rPr>
        <w:t>第一节 强化源头管控严守绿色底线</w:t>
      </w:r>
      <w:bookmarkEnd w:id="38"/>
    </w:p>
    <w:p w14:paraId="4744F69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严守项目准入底线，建立“环保+安全”双重准入机制，源头控制高耗能高污染项目，推动产业向土地集约化、原料无害化、生产洁净化、废物资源化、能源低碳化转型。强化水资源高效利用，推动水资源节约集约利用，推广循环用水、再生水利用技术；加快闲置低效用地再开发，开展全域工业用地利用效率普查，建立含亩均投资、产值、税收、容积率的低效用地数据库，精准识别“僵尸企业”、低效厂房、闲置地块，淘汰落后产能。构建清洁能源体系，推进节能降碳，搭建多能互补清洁能源供给网络；探索企业绿证应用机制，将绿证纳入碳排放核算与碳足迹管理体系；打造“零碳工厂+光伏社区”示范试点，形成生产过程绿能创新可复制转型模式。</w:t>
      </w:r>
    </w:p>
    <w:p w14:paraId="53B914C8">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39" w:name="_Toc16053"/>
      <w:r>
        <w:rPr>
          <w:rFonts w:hint="default" w:ascii="Times New Roman" w:hAnsi="Times New Roman" w:cs="Times New Roman"/>
          <w:color w:val="auto"/>
          <w:lang w:val="en-US" w:eastAsia="zh-CN"/>
        </w:rPr>
        <w:t>第二节 推广清洁生产提升绿能消纳</w:t>
      </w:r>
      <w:bookmarkEnd w:id="39"/>
    </w:p>
    <w:p w14:paraId="4F22355B">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全面推行清洁生产，鼓励企业采用环境友好型先进工艺技术，严格执行重点企业强制性清洁生产审核制度。因地制宜引进多元储能设备，加快新型储能技术规模化应用，扩大新型储能装机容量。扩大海上风电、光伏发电、太阳能光热发电等非化石能源供给规模。加快发展绿电直供模式，建设绿电直供网络，提高园区可再生能源直供和消费比例，提升绿电利用率，保障企业生产运营的连续性。建立“电、热、气、氢”多能互补的清洁能源系统，推动“源网荷储一体化”建设，构建智慧调控平台，推进余热梯级利用供能，提升清洁能源消纳与存储能力。依托高校、科研院所与龙头企业，共建绿色低碳与资源循环技术创新平台，聚焦固废高值化利用、工业废水近零排放、高效光伏/新型储能、生物质能转化等关键核心技术攻关，建设中试孵化基地与应用示范工程，加快技术成果转化与标准制定。</w:t>
      </w:r>
    </w:p>
    <w:p w14:paraId="546D4BE4">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0" w:name="_Toc10870"/>
      <w:r>
        <w:rPr>
          <w:rFonts w:hint="default" w:ascii="Times New Roman" w:hAnsi="Times New Roman" w:cs="Times New Roman"/>
          <w:color w:val="auto"/>
          <w:lang w:val="en-US" w:eastAsia="zh-CN"/>
        </w:rPr>
        <w:t>第三节 实施绿色制造推动产业转型</w:t>
      </w:r>
      <w:bookmarkEnd w:id="40"/>
    </w:p>
    <w:p w14:paraId="40F07A6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严格落实以低碳为导向的评价指标体系，健全绿色制造培育库，大力开展绿色工厂、绿色供应链、工业“节水型企业”及绿色设计产品创建。深入推进经开区循环化改造，推动企业间、产业间能源梯级利用、水资源循环与固废协同处置，构建“资源—产品—再生资源”闭环产业链。强化产业链协同，培育资源循环利用“链主”企业与“专精特新”中小企业，推动回收网络、加工体系与高值利用深度融合，打造规范化、规模化运营主体。引导骨干企业创建“零碳工厂”“无废工厂”及“零碳工厂+光伏社区”示范节点，全面推广绿证应用与碳足迹管理。深化数字赋能绿色转型，建设经开区碳排放与资源循环综合管控平台，实现能耗、物料流转与碳排放的实时追踪、动态优化与智能预警。到2030年，工业能耗强度与二氧化碳排放强度持续下降，全面完成园区循环化改造，新增省级以上绿色工厂、绿色供应链企业25家以上，培育一批具有全国竞争力的绿色低碳标杆企业</w:t>
      </w:r>
      <w:r>
        <w:rPr>
          <w:rFonts w:hint="default" w:ascii="Times New Roman" w:hAnsi="Times New Roman" w:cs="Times New Roman"/>
          <w:color w:val="auto"/>
          <w:lang w:val="en-US" w:eastAsia="zh-CN"/>
        </w:rPr>
        <w:t>。</w:t>
      </w:r>
    </w:p>
    <w:p w14:paraId="400BD480">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1" w:name="_Toc17283"/>
      <w:r>
        <w:rPr>
          <w:rFonts w:hint="default" w:ascii="Times New Roman" w:hAnsi="Times New Roman" w:cs="Times New Roman"/>
          <w:color w:val="auto"/>
          <w:lang w:val="en-US" w:eastAsia="zh-CN"/>
        </w:rPr>
        <w:t>第四节 稳妥有序推进碳达峰进程</w:t>
      </w:r>
      <w:bookmarkEnd w:id="41"/>
    </w:p>
    <w:p w14:paraId="6B8E853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入实施碳达峰重点工程，扎实推进国家碳达峰试点城市建设。实行碳排放总量和强度双控制度，健全碳排放计量标准和统计核算体系，稳步落实地方碳考核、行业碳管控、企业碳管理、项目碳评价、产品碳足迹等政策制度。加强碳排放配额管理，有序做好碳市场扩围，推动碳金融创新发展。实施生态系统碳汇能力巩固提升行动，加快碳捕集利用与封存等先进技术推广应用。因地制宜发展分布式能源，推进各类园区低碳化改造，建设国家级、省级零碳工厂和园区。完善适应气候变化工作体系，提升应对气候变化特别是极端天气能力。</w:t>
      </w:r>
    </w:p>
    <w:p w14:paraId="5CBEBEA0">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2" w:name="_Toc28445"/>
      <w:r>
        <w:rPr>
          <w:rFonts w:hint="default" w:ascii="Times New Roman" w:hAnsi="Times New Roman" w:cs="Times New Roman"/>
          <w:color w:val="auto"/>
          <w:lang w:val="en-US" w:eastAsia="zh-CN"/>
        </w:rPr>
        <w:t>第五节 倡导绿色生活培育低碳风尚</w:t>
      </w:r>
      <w:bookmarkEnd w:id="42"/>
    </w:p>
    <w:p w14:paraId="33FC0CC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化绿色生活创建行动，推动低碳理念融入公众日常与社区治理。完善绿色出行体系，优化“公交+慢行”网络布局，推进交通枢纽、居住区与产业园区无缝衔接，科学规划新能源汽车公共充换电设施，打造“零碳通勤”示范走廊。全面推进绿色建筑与低碳社区建设，严格执行新建民用建筑绿色标准，稳步推进既有建筑节能与适老化改造，推广装配式与超低能耗建筑，打造集海绵设施、分布式光伏、智慧微电网于一体的绿色低碳示范社区。倡导绿色消费与循环模式，严格落实限塑政策，扩大绿色产品认证与政府采购比例。依托“互联网+回收”平台，推广智能回收进社区、进校园，构建覆盖“分类投放—智能回收—规范分拣—资源化利用”的再生资源逆向物流网络。创新公众参与机制，搭建区域碳普惠数字平台，将节水节电、垃圾分类、绿色出行等低碳行为转化为碳积分，实现与公共服务、商业消费、信贷优惠互通联动。到2030年，绿色出行比例提升至65%以上，新建民用建筑全面执行绿色建筑标准，省级以上绿色社区实现全覆盖，形成全民参与、共建共享的绿色生活新风尚。</w:t>
      </w:r>
    </w:p>
    <w:p w14:paraId="4246D84A">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3" w:name="_Toc9464"/>
      <w:r>
        <w:rPr>
          <w:rFonts w:hint="default" w:ascii="Times New Roman" w:hAnsi="Times New Roman" w:cs="Times New Roman"/>
          <w:color w:val="auto"/>
          <w:lang w:val="en-US" w:eastAsia="zh-CN"/>
        </w:rPr>
        <w:t>第六节 深化污染防治筑牢生态屏障</w:t>
      </w:r>
      <w:bookmarkEnd w:id="43"/>
    </w:p>
    <w:p w14:paraId="2D2E738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系统治理与底线思维，筑牢高质量发展生态安全屏障。强化大气环境精细化管控，深化PM2.5与臭氧污染协同治理，推进重点行业VOCs源头替代与末端深度治理，加强移动源与非道路移动机械排放监管。实施水生态环境综合治理，落实“水资源、水环境、水生态”三水统筹，推进入海入河排污口规范化整治与动态监测，开展重点流域生态修复与生态缓冲带建设，保障近岸海域与内河水质稳定达标。深化土壤与地下水污染防治，严格衔接国土空间规划“三区三线”管控，强化建设用地准入与污染地块风险管控，健全“调查—评估—修复—监管”全链条机制，确保受污染地块安全利用。优化生态空间格局，严守生态保护红线，构建“蓝绿交织、廊道连通”的生态网络，实施海岸带、湿地、山体等重点生态系统保护修复工程，提升区域生物多样性与生态碳汇能力。完善</w:t>
      </w:r>
      <w:r>
        <w:rPr>
          <w:rFonts w:hint="default" w:ascii="Times New Roman" w:hAnsi="Times New Roman" w:cs="Times New Roman"/>
          <w:color w:val="auto"/>
          <w:lang w:val="en-US" w:eastAsia="zh-CN"/>
        </w:rPr>
        <w:t>现代环境治理体系</w:t>
      </w:r>
      <w:r>
        <w:rPr>
          <w:rFonts w:hint="default" w:ascii="Times New Roman" w:hAnsi="Times New Roman" w:eastAsia="仿宋_GB2312" w:cs="Times New Roman"/>
          <w:color w:val="auto"/>
          <w:lang w:val="en-US" w:eastAsia="zh-CN"/>
        </w:rPr>
        <w:t>，升级“空天地一体化”生态环境监测网络与大数据平台，实现污染源精准溯源、环境质量实时感知与风险智能预警。高标准打造“无废园区”，提升城乡污水收集处理效能，依托省级固废管理平台健全危险废物、医疗废物全流程“一张网”监管与电子联单制度，推动发电、建材等行业协同处置工业固废。强化生态环境风险防范，完善突发环境事件应急预案与应急物资储备，落实企业环境信用评价与联合惩戒机制。到2030年，PM2.5浓度稳定达到国家二级标准，重点河流水质优良比例保持100%，受污染耕地与重点建设用地安全利用率稳定在95%以上，建成法治化、智慧化、全民参与的现代环境治理体系，绘就“水清、岸绿、滩净、湾美”的美丽经开区。</w:t>
      </w:r>
    </w:p>
    <w:p w14:paraId="15945E05">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1EA5F577">
      <w:pPr>
        <w:kinsoku/>
        <w:spacing w:beforeLines="0" w:afterLines="0" w:line="560" w:lineRule="exact"/>
        <w:rPr>
          <w:rFonts w:hint="default" w:ascii="Times New Roman" w:hAnsi="Times New Roman" w:cs="Times New Roman"/>
          <w:color w:val="auto"/>
          <w:lang w:eastAsia="zh-CN"/>
        </w:rPr>
      </w:pPr>
      <w:r>
        <w:rPr>
          <w:rFonts w:hint="default" w:ascii="Times New Roman" w:hAnsi="Times New Roman" w:cs="Times New Roman"/>
          <w:color w:val="auto"/>
          <w:lang w:eastAsia="zh-CN"/>
        </w:rPr>
        <w:br w:type="page"/>
      </w:r>
    </w:p>
    <w:p w14:paraId="2691EEC9">
      <w:pPr>
        <w:pStyle w:val="3"/>
        <w:kinsoku/>
        <w:bidi w:val="0"/>
        <w:spacing w:before="0" w:beforeLines="0" w:after="0" w:afterLines="0" w:line="560" w:lineRule="exact"/>
        <w:rPr>
          <w:rFonts w:hint="default" w:ascii="Times New Roman" w:hAnsi="Times New Roman" w:cs="Times New Roman"/>
          <w:color w:val="auto"/>
          <w:sz w:val="32"/>
          <w:szCs w:val="32"/>
          <w:lang w:val="en-US" w:eastAsia="zh-CN"/>
        </w:rPr>
      </w:pPr>
      <w:bookmarkStart w:id="44" w:name="_Toc17055"/>
      <w:r>
        <w:rPr>
          <w:rFonts w:hint="default" w:ascii="Times New Roman" w:hAnsi="Times New Roman" w:cs="Times New Roman"/>
          <w:color w:val="auto"/>
          <w:sz w:val="32"/>
          <w:szCs w:val="32"/>
          <w:lang w:val="en-US" w:eastAsia="zh-CN"/>
        </w:rPr>
        <w:t>第九章 优化供给惠民生 提质扩面促共富</w:t>
      </w:r>
      <w:bookmarkEnd w:id="44"/>
    </w:p>
    <w:p w14:paraId="754AE75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p>
    <w:p w14:paraId="596B260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szCs w:val="32"/>
          <w:lang w:val="en-US" w:eastAsia="zh-CN"/>
        </w:rPr>
      </w:pPr>
      <w:r>
        <w:rPr>
          <w:rFonts w:hint="default" w:ascii="Times New Roman" w:hAnsi="Times New Roman" w:eastAsia="仿宋_GB2312" w:cs="Times New Roman"/>
          <w:color w:val="auto"/>
          <w:lang w:val="en-US" w:eastAsia="zh-CN"/>
        </w:rPr>
        <w:t>立足经开区群众对美好生活的向往，统筹公共文化建设与民生保障提质，丰富文化供给，稳定就业增收，完善社保体系，优化教育医疗养老服务，补齐民生短板，增进民生福祉，促进社会公平，提升群众获得感、幸福感、安全感，推动民生事业高质量发展，稳步迈向共同富裕目标。</w:t>
      </w:r>
    </w:p>
    <w:p w14:paraId="647B4603">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5" w:name="_Toc12405"/>
      <w:r>
        <w:rPr>
          <w:rFonts w:hint="default" w:ascii="Times New Roman" w:hAnsi="Times New Roman" w:cs="Times New Roman"/>
          <w:color w:val="auto"/>
          <w:lang w:val="en-US" w:eastAsia="zh-CN"/>
        </w:rPr>
        <w:t>第一节 提质扩容优化公共服务供给</w:t>
      </w:r>
      <w:bookmarkEnd w:id="45"/>
    </w:p>
    <w:p w14:paraId="702EF96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文化繁荣兴盛是中国式现代化重要标志。牢牢把握新时代文化使命，坚持“两个结合”，激发文化创新创造活力，不断发展具有强大思想引领力、精神凝聚力、价值感召力、国际影响力的新时代中国特色社会主义文化，为经开区现代化建设提供坚强思想保证、强大精神力量、有利文化条件。</w:t>
      </w:r>
    </w:p>
    <w:p w14:paraId="28AA1A85">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一、弘扬和践行社会主义核心价值观</w:t>
      </w:r>
    </w:p>
    <w:p w14:paraId="294B722C">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马克思主义在意识形态领域的指导地位，坚定文化自信，以社会主义核心价值观引领文化建设，传承红色文化、活化传统文化、做优现代文化，更好满足人民文化需求、凝聚精神力量。坚持把社会主义核心价值观融入法治建设和社会治理，体现到国民教育、精神文明创建、文化产品创作生产全过程。贯彻落实《新时代爱国主义教育纲要》，推进爱国主义教育基地与党性教育基地、党史教育基地、国防教育基地、国家安全教育基地等互通共享。贯彻落实《新时代公民道德建设实施纲要》，深入开展社会公德、职业道德、家庭美德、个人品德建设。建立完善典型选树宣传体系，常态化选树宣传道德模范、经开区榜样、最美人物、身边好人等先进典型。</w:t>
      </w:r>
    </w:p>
    <w:p w14:paraId="578A7FF4">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二、高质量发展特色文化产业</w:t>
      </w:r>
    </w:p>
    <w:p w14:paraId="149050B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化文化与科技深度融合，聚焦技术赋能、业态创新，为文化产业转型升级注入强劲动能、激活发展活力。做强做优文化旅游、创意设计、书画艺术、影视制作、动漫游戏等传统文化产业，加快培育数字文化、文化会展、文化交易等新兴文化业态，推动传统业态提质增效、新兴业态扩容增量、两者协同共生互促共进。推进文化创意与科技、信息、制造、特色农业、体育、康养、建筑等领域深度融合，催生更多跨界融合的新产品、新业态、新模式，拓展文化产业发展空间。培育壮大文旅消费市场，持续举办文化和旅游惠民消费季等品牌活动，构筑“文旅业+互联网+金融+文创”线上线下一体化展销模式，打造消费热点，拉动文旅消费。引导传统文化市场经营主体转型升级，推出一批高品质文化演艺产品，培育高端商业演出市场，不断提升文化产品品位内涵、艺术价值及服务质量。健全完善文化产业扶持政策，持续优化文化产业发展营商环境。</w:t>
      </w:r>
    </w:p>
    <w:p w14:paraId="2476769E">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三、深化文明交流与国际传播</w:t>
      </w:r>
    </w:p>
    <w:p w14:paraId="45434C7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建强“经开区国际传播融媒体矩阵”，打造“经开区蓝・国际会客厅”等文化传播平台，让国际受众透过“产业场景、生活场景、文化场景”感知经开区特质。加强区域国别研究，重点围绕韩国、“一带一路”沿线海洋国家开展针对性研究，定制“产业合作+文化交流”传播方案。突出“中韩自贸区桥头堡”优势，通过中韩文化会议论坛、民间艺术联展等活动，深化“近邻合作、文化同源”的情感联结。大力发展文化贸易，重点培育海洋文化衍生品、中韩融合文创、康养文化IP等特色文化企业，支持企业参加国际文化产业博览会，推动“经开区造”文化产品融入全球市场，让文化传播与产业发展双向赋能、协同共进。</w:t>
      </w:r>
    </w:p>
    <w:p w14:paraId="1FD8DCCC">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6" w:name="_Toc17724"/>
      <w:r>
        <w:rPr>
          <w:rFonts w:hint="default" w:ascii="Times New Roman" w:hAnsi="Times New Roman" w:cs="Times New Roman"/>
          <w:color w:val="auto"/>
          <w:lang w:val="en-US" w:eastAsia="zh-CN"/>
        </w:rPr>
        <w:t>第二节 健全机制扎实推进共同富裕</w:t>
      </w:r>
      <w:bookmarkEnd w:id="46"/>
    </w:p>
    <w:p w14:paraId="7FD2F12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深入实施民生改善和安全强基工程，坚持尽力而为、量力而行，解决好人民群众急难愁盼问题，畅通社会流动渠道，提高人民生活品质，让现代化强区建设成果更多更公平惠及全体人民。</w:t>
      </w:r>
    </w:p>
    <w:p w14:paraId="4C99F9B6">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一、提高就业质量与稳定性</w:t>
      </w:r>
    </w:p>
    <w:p w14:paraId="0B91E44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实施就业优先战略和更加积极的创业就业政策，多措并举保障高质量就业，加大收入分配调节力度，不断扩大中等收入群体比例，努力实现居民收入增长与经济增长同步。完善就业支持和公共服务体系，建设“家门口”就业服务圈，稳定和扩大高校毕业生、农民工、退役军人等重点群体就业。加强“互联网+公共服务”信息化建设，方便从业者通过手机实现职业信息搜索、职业指导、就业服务、课程学习等功能，多途径获得公共服务。完善人力资源供需匹配机制，健全终身职业技能培训制度，强化择业和用人观念引导。</w:t>
      </w:r>
    </w:p>
    <w:p w14:paraId="43899CB2">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二、持续提升居民收入水平​</w:t>
      </w:r>
    </w:p>
    <w:p w14:paraId="21D738F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健全收入分配调节机制，完善收入分配制度和劳动报酬增长机制，确保居民收入增长和经济增长同步、劳动报酬提高和劳动生产率提高同步。增加劳动者特别是一线劳动者劳动报酬，提高劳动报酬在初次分配中的比重。督导企业建立健全工资合理增长机制，增加低收入人群收入，扩大中等收入群体。积极拓宽增收渠道，通过集聚高技术企业、鼓励创新创业、提升职业素养、提升社保层次，持续增加居民的工资、经营、财产、转移性收入。加大税收、社会保障、转移支付等调节力度和精准性，发挥慈善等第三次分配作用，改善收入和财富分配格局。保护劳动所得，严格落实保障农民工工资支付各项制度，切实保障农民工工资按时足额支付。</w:t>
      </w:r>
    </w:p>
    <w:p w14:paraId="6D2DD4C9">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三、提升社会保障覆盖水平</w:t>
      </w:r>
    </w:p>
    <w:p w14:paraId="6FDAED1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巩固扩大社会保险覆盖面，提高社会保险统筹层次，大力推进灵活就业参保，基本实现法定人员全覆盖。充分发挥基本民生兜底保障作用，大力发展社会福利和慈善事业，健全社会救助体系。开展弱势群体“春风行动”，依托社会组织、社区企业、志愿者等，开展助餐、助洁等居家养老服务和个性化服务，形成长效服务保障机制。健全退役军人工作体系和保障制度，提高退役军人就业创业质量，持续开展双拥工作。到2030年，全社会居民参保率达到99%。</w:t>
      </w:r>
    </w:p>
    <w:p w14:paraId="48EA469E">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四、建设高质量教育服务体系​</w:t>
      </w:r>
    </w:p>
    <w:p w14:paraId="4CE24BB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坚持五育并举，培养学生爱国情怀、社会责任感、创新精神、实践能力。推动学前教育普惠健康发展、义务教育优质均衡发展，加快推进小区配套幼儿园建设</w:t>
      </w:r>
      <w:r>
        <w:rPr>
          <w:rFonts w:hint="eastAsia"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整合社区资源，推动企业、机构参与，全面推广“家校社政企研”联合共育。实施教育信息化2.0行动计划，完善中小学信息化基础设施，推动中小学互联网接入率达到100%。推进家校合作创新发展，依托互联网和新媒体平台，开展中小学、幼儿园网上家长学校建设。加强师德师风建设，打造高素质专业化教师队伍。</w:t>
      </w:r>
    </w:p>
    <w:p w14:paraId="1EADC5C6">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五、健全卫生健康服务体系</w:t>
      </w:r>
    </w:p>
    <w:p w14:paraId="7CC30EC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以公益性为导向，</w:t>
      </w:r>
      <w:r>
        <w:rPr>
          <w:rFonts w:hint="default" w:ascii="Times New Roman" w:hAnsi="Times New Roman" w:cs="Times New Roman"/>
          <w:strike w:val="0"/>
          <w:color w:val="auto"/>
          <w:lang w:val="en-US" w:eastAsia="zh-CN"/>
        </w:rPr>
        <w:t>加强医疗卫生服务体系建设，</w:t>
      </w:r>
      <w:r>
        <w:rPr>
          <w:rFonts w:hint="default" w:ascii="Times New Roman" w:hAnsi="Times New Roman" w:eastAsia="仿宋_GB2312" w:cs="Times New Roman"/>
          <w:color w:val="auto"/>
          <w:lang w:val="en-US" w:eastAsia="zh-CN"/>
        </w:rPr>
        <w:t>构建以海大医院为龙头的紧密型县域医联体，推动资源互补，完善分级诊疗体系。传承创新发展中医药事业，提升基层中医药服务能力</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建强基层中医药服务网络，到2030年，中医诊疗人次占比不低于35%，中医医师占比大于25%，40%以上社区卫生服务站、村卫生室达标中医阁内涵建设标准，8处以上达到中医药特色标准。完善重大传染病防控体制机制，推进监测预警、应急处置、免疫规划、联防联控能力提升，强化医防协同、医防融合，健全公共卫生预防控制体系。提升医疗应急、急诊急救保障能力，加强心理健康和精神卫生服务。推进国际康养旅游试验区建设，建立现代康养旅游产业体系。统筹域内医疗与养老资源，</w:t>
      </w:r>
      <w:r>
        <w:rPr>
          <w:rFonts w:hint="default" w:ascii="Times New Roman" w:hAnsi="Times New Roman" w:eastAsia="仿宋_GB2312" w:cs="Times New Roman"/>
          <w:color w:val="auto"/>
          <w:sz w:val="32"/>
          <w:szCs w:val="44"/>
          <w:lang w:val="en-US" w:eastAsia="zh-CN"/>
        </w:rPr>
        <w:t>推动医疗服务与养老服务深度融合</w:t>
      </w:r>
      <w:r>
        <w:rPr>
          <w:rFonts w:hint="default" w:ascii="Times New Roman" w:hAnsi="Times New Roman" w:eastAsia="仿宋_GB2312" w:cs="Times New Roman"/>
          <w:color w:val="auto"/>
          <w:lang w:val="en-US" w:eastAsia="zh-CN"/>
        </w:rPr>
        <w:t>，建成以海大医院为牵头单位的医养联合体。提升基层医疗机构服务能力，到2030年，3处基层医疗机构达到“优质服务基层行”推荐标准，建成1处社区医院。村卫生室“五有三提升”全覆盖，医保门诊统筹联网结算率100%。</w:t>
      </w:r>
    </w:p>
    <w:p w14:paraId="239817D6">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六、完善养老服务保障体系</w:t>
      </w:r>
    </w:p>
    <w:p w14:paraId="3FE2E78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多渠道增加养老服务供给，完善以居家为基础、社区为依托、机构为补充、医养结合的多层次养老服务体系。大力发展普惠优质养老机构，鼓励社会资本参与养老服务，促进民办养老机构规模化、连锁化、专业化发展。推进凤林老年公寓二期工程建设，增加养老服务床位。推动街道建设具备全托、日托、上门服务等功能的综合养老服务机构。落实新建小区配建社区养老服务设施“四同步”机制，整合社区存量资源嵌入日间照护、长者照护、养老顾问等养老服务功能。推广互助养老、智慧养老、旅居养老、老幼共托等模式，做强滨海康养旅游带，支持在泊于镇建设康养旅游集聚区。到2030年，全区需建成15个以上社区养老服务综合体；80%以上的社区食堂、农村老年餐桌实现品牌化连锁化运营；推动60%以上养老机构参与社区居家服务，智慧养老业态成熟，全区建有4家智慧养老院、10个数字化社区养老服务场所，打造“海大”“七福”等一批银发经济服务品牌。</w:t>
      </w:r>
    </w:p>
    <w:p w14:paraId="660DE3F5">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七、保障妇女儿童青少年合法权益​</w:t>
      </w:r>
    </w:p>
    <w:p w14:paraId="2A017D3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保障妇女平等获得就业、教育、医疗、救助等权利，为符合条件的孕妇开展产前血清免费筛查。</w:t>
      </w:r>
      <w:r>
        <w:rPr>
          <w:rFonts w:hint="default" w:ascii="Times New Roman" w:hAnsi="Times New Roman" w:cs="Times New Roman"/>
          <w:color w:val="auto"/>
          <w:lang w:val="en-US" w:eastAsia="zh-CN"/>
        </w:rPr>
        <w:t>落实“</w:t>
      </w:r>
      <w:r>
        <w:rPr>
          <w:rFonts w:hint="default" w:ascii="Times New Roman" w:hAnsi="Times New Roman" w:eastAsia="仿宋_GB2312" w:cs="Times New Roman"/>
          <w:color w:val="auto"/>
          <w:lang w:val="en-US" w:eastAsia="zh-CN"/>
        </w:rPr>
        <w:t>优化生育支持政策和激励措施，深入开展托育服务补助示范试点，发展普惠托育服务体系</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的重要部署，聚焦“提质扩容、普惠便捷”核心目标，推进托育综合服务中心</w:t>
      </w:r>
      <w:r>
        <w:rPr>
          <w:rFonts w:hint="default" w:ascii="Times New Roman" w:hAnsi="Times New Roman" w:cs="Times New Roman"/>
          <w:color w:val="auto"/>
          <w:lang w:val="en-US" w:eastAsia="zh-CN"/>
        </w:rPr>
        <w:t>提档</w:t>
      </w:r>
      <w:r>
        <w:rPr>
          <w:rFonts w:hint="default" w:ascii="Times New Roman" w:hAnsi="Times New Roman" w:eastAsia="仿宋_GB2312" w:cs="Times New Roman"/>
          <w:color w:val="auto"/>
          <w:lang w:val="en-US" w:eastAsia="zh-CN"/>
        </w:rPr>
        <w:t>升级</w:t>
      </w:r>
      <w:r>
        <w:rPr>
          <w:rFonts w:hint="default" w:ascii="Times New Roman" w:hAnsi="Times New Roman" w:cs="Times New Roman"/>
          <w:color w:val="auto"/>
          <w:lang w:val="en-US" w:eastAsia="zh-CN"/>
        </w:rPr>
        <w:t>，织密社区普惠托育网、用人单位办托网，</w:t>
      </w:r>
      <w:r>
        <w:rPr>
          <w:rFonts w:hint="default" w:ascii="Times New Roman" w:hAnsi="Times New Roman" w:eastAsia="仿宋_GB2312" w:cs="Times New Roman"/>
          <w:color w:val="auto"/>
          <w:lang w:val="en-US" w:eastAsia="zh-CN"/>
        </w:rPr>
        <w:t>扩容托幼一体公办园</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扶持社会办托育一体园</w:t>
      </w:r>
      <w:r>
        <w:rPr>
          <w:rFonts w:hint="default"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盘活闲置资源改建托育机构。实施儿童友好主题实践活动，完善儿童友好配套设施，创建儿童友好型城区。在公共场所和女职工需求较多的企业建立母婴室，鼓励企业为职工提供子女寒暑假托管服务。完善未成年人救助保护体系，实施少年儿童关爱帮扶行动。倡导青年优先发展理念，践行青年发展规划，促进青年全面发展。到2030年，实现社区托育覆盖率100%，每千人口社区普惠托位数稳定在6个左右。机构评估合格率95%以上。</w:t>
      </w:r>
    </w:p>
    <w:p w14:paraId="3721CA20">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0" w:firstLineChars="0"/>
        <w:jc w:val="both"/>
        <w:textAlignment w:val="baseline"/>
        <w:rPr>
          <w:rFonts w:hint="default" w:ascii="Times New Roman" w:hAnsi="Times New Roman" w:eastAsia="仿宋_GB2312" w:cs="Times New Roman"/>
          <w:color w:val="auto"/>
          <w:lang w:val="en-US" w:eastAsia="zh-CN"/>
        </w:rPr>
      </w:pPr>
    </w:p>
    <w:p w14:paraId="1A975922">
      <w:pPr>
        <w:pStyle w:val="3"/>
        <w:kinsoku/>
        <w:bidi w:val="0"/>
        <w:spacing w:before="0" w:beforeLines="0" w:after="0" w:afterLines="0" w:line="600" w:lineRule="exact"/>
        <w:jc w:val="center"/>
        <w:rPr>
          <w:rFonts w:hint="default" w:ascii="Times New Roman" w:hAnsi="Times New Roman" w:cs="Times New Roman"/>
          <w:color w:val="auto"/>
          <w:lang w:val="en-US" w:eastAsia="zh-CN"/>
        </w:rPr>
      </w:pPr>
      <w:bookmarkStart w:id="47" w:name="_Toc5116"/>
    </w:p>
    <w:p w14:paraId="39C53E87">
      <w:pPr>
        <w:pStyle w:val="3"/>
        <w:kinsoku/>
        <w:bidi w:val="0"/>
        <w:spacing w:before="0" w:beforeLines="0" w:after="0" w:afterLines="0" w:line="600" w:lineRule="exact"/>
        <w:jc w:val="center"/>
        <w:rPr>
          <w:rFonts w:hint="default" w:ascii="Times New Roman" w:hAnsi="Times New Roman" w:cs="Times New Roman"/>
          <w:color w:val="auto"/>
          <w:lang w:val="en-US" w:eastAsia="zh-CN"/>
        </w:rPr>
      </w:pPr>
    </w:p>
    <w:p w14:paraId="5C26D570">
      <w:pPr>
        <w:spacing w:beforeLines="0" w:afterLines="0" w:line="600" w:lineRule="exact"/>
        <w:rPr>
          <w:rFonts w:hint="default" w:ascii="Times New Roman" w:hAnsi="Times New Roman" w:cs="Times New Roman"/>
          <w:color w:val="auto"/>
          <w:lang w:val="en-US" w:eastAsia="zh-CN"/>
        </w:rPr>
      </w:pPr>
    </w:p>
    <w:p w14:paraId="64B68D76">
      <w:pPr>
        <w:pStyle w:val="2"/>
        <w:spacing w:beforeLines="0" w:afterLines="0" w:line="360" w:lineRule="auto"/>
        <w:rPr>
          <w:rFonts w:hint="default" w:ascii="Times New Roman" w:hAnsi="Times New Roman" w:cs="Times New Roman"/>
          <w:color w:val="auto"/>
          <w:lang w:val="en-US" w:eastAsia="zh-CN"/>
        </w:rPr>
      </w:pPr>
    </w:p>
    <w:p w14:paraId="04716C5D">
      <w:pPr>
        <w:spacing w:beforeLines="0" w:afterLines="0" w:line="360" w:lineRule="auto"/>
        <w:rPr>
          <w:rFonts w:hint="default" w:ascii="Times New Roman" w:hAnsi="Times New Roman" w:cs="Times New Roman"/>
          <w:color w:val="auto"/>
          <w:lang w:val="en-US" w:eastAsia="zh-CN"/>
        </w:rPr>
      </w:pPr>
    </w:p>
    <w:p w14:paraId="64D6AFA6">
      <w:pPr>
        <w:pStyle w:val="2"/>
        <w:spacing w:beforeLines="0" w:afterLines="0" w:line="360" w:lineRule="auto"/>
        <w:rPr>
          <w:rFonts w:hint="default" w:ascii="Times New Roman" w:hAnsi="Times New Roman" w:cs="Times New Roman"/>
          <w:color w:val="auto"/>
          <w:lang w:val="en-US" w:eastAsia="zh-CN"/>
        </w:rPr>
      </w:pPr>
    </w:p>
    <w:p w14:paraId="7DF0F1DD">
      <w:pPr>
        <w:spacing w:beforeLines="0" w:afterLines="0" w:line="360" w:lineRule="auto"/>
        <w:rPr>
          <w:rFonts w:hint="default" w:ascii="Times New Roman" w:hAnsi="Times New Roman" w:cs="Times New Roman"/>
          <w:color w:val="auto"/>
          <w:lang w:val="en-US" w:eastAsia="zh-CN"/>
        </w:rPr>
      </w:pPr>
    </w:p>
    <w:p w14:paraId="3F7009DF">
      <w:pPr>
        <w:pStyle w:val="2"/>
        <w:spacing w:beforeLines="0" w:afterLines="0" w:line="360" w:lineRule="auto"/>
        <w:rPr>
          <w:rFonts w:hint="default" w:ascii="Times New Roman" w:hAnsi="Times New Roman" w:cs="Times New Roman"/>
          <w:color w:val="auto"/>
          <w:lang w:val="en-US" w:eastAsia="zh-CN"/>
        </w:rPr>
      </w:pPr>
    </w:p>
    <w:p w14:paraId="04A4E888">
      <w:pPr>
        <w:pStyle w:val="3"/>
        <w:kinsoku/>
        <w:bidi w:val="0"/>
        <w:spacing w:before="0" w:beforeLines="0" w:after="0" w:afterLines="0" w:line="360" w:lineRule="auto"/>
        <w:jc w:val="center"/>
        <w:rPr>
          <w:rFonts w:hint="default" w:ascii="Times New Roman" w:hAnsi="Times New Roman" w:cs="Times New Roman"/>
          <w:color w:val="auto"/>
          <w:sz w:val="32"/>
          <w:szCs w:val="32"/>
          <w:lang w:val="en-US" w:eastAsia="zh-CN"/>
        </w:rPr>
      </w:pPr>
    </w:p>
    <w:p w14:paraId="0E900ECB">
      <w:pPr>
        <w:spacing w:beforeLines="0" w:afterLines="0" w:line="360" w:lineRule="auto"/>
        <w:rPr>
          <w:rFonts w:hint="default" w:ascii="Times New Roman" w:hAnsi="Times New Roman" w:cs="Times New Roman"/>
          <w:color w:val="auto"/>
          <w:sz w:val="32"/>
          <w:szCs w:val="32"/>
          <w:lang w:val="en-US" w:eastAsia="zh-CN"/>
        </w:rPr>
      </w:pPr>
    </w:p>
    <w:p w14:paraId="7D616E94">
      <w:pPr>
        <w:pStyle w:val="2"/>
        <w:spacing w:beforeLines="0" w:afterLines="0" w:line="360" w:lineRule="auto"/>
        <w:rPr>
          <w:rFonts w:hint="default" w:ascii="Times New Roman" w:hAnsi="Times New Roman" w:cs="Times New Roman"/>
          <w:color w:val="auto"/>
          <w:sz w:val="32"/>
          <w:szCs w:val="32"/>
          <w:lang w:val="en-US" w:eastAsia="zh-CN"/>
        </w:rPr>
      </w:pPr>
    </w:p>
    <w:p w14:paraId="3DE93D68">
      <w:pPr>
        <w:spacing w:beforeLines="0" w:afterLines="0" w:line="360" w:lineRule="auto"/>
        <w:rPr>
          <w:rFonts w:hint="default" w:ascii="Times New Roman" w:hAnsi="Times New Roman" w:cs="Times New Roman"/>
          <w:color w:val="auto"/>
          <w:sz w:val="32"/>
          <w:szCs w:val="32"/>
          <w:lang w:val="en-US" w:eastAsia="zh-CN"/>
        </w:rPr>
      </w:pPr>
    </w:p>
    <w:p w14:paraId="6733FA8A">
      <w:pPr>
        <w:pStyle w:val="2"/>
        <w:spacing w:beforeLines="0" w:afterLines="0" w:line="360" w:lineRule="auto"/>
        <w:rPr>
          <w:rFonts w:hint="default" w:ascii="Times New Roman" w:hAnsi="Times New Roman" w:cs="Times New Roman"/>
          <w:color w:val="auto"/>
          <w:sz w:val="32"/>
          <w:szCs w:val="32"/>
          <w:lang w:val="en-US" w:eastAsia="zh-CN"/>
        </w:rPr>
      </w:pPr>
    </w:p>
    <w:p w14:paraId="14F0D97F">
      <w:pPr>
        <w:spacing w:beforeLines="0" w:afterLines="0" w:line="360" w:lineRule="auto"/>
        <w:rPr>
          <w:rFonts w:hint="default" w:ascii="Times New Roman" w:hAnsi="Times New Roman" w:cs="Times New Roman"/>
          <w:color w:val="auto"/>
          <w:sz w:val="32"/>
          <w:szCs w:val="32"/>
          <w:lang w:val="en-US" w:eastAsia="zh-CN"/>
        </w:rPr>
      </w:pPr>
    </w:p>
    <w:p w14:paraId="507003BC">
      <w:pPr>
        <w:pStyle w:val="2"/>
        <w:spacing w:beforeLines="0" w:afterLines="0" w:line="360" w:lineRule="auto"/>
        <w:rPr>
          <w:rFonts w:hint="default"/>
          <w:lang w:val="en-US" w:eastAsia="zh-CN"/>
        </w:rPr>
      </w:pPr>
    </w:p>
    <w:p w14:paraId="16AF07A3">
      <w:pPr>
        <w:pStyle w:val="3"/>
        <w:kinsoku/>
        <w:bidi w:val="0"/>
        <w:spacing w:before="0" w:beforeLines="0" w:after="0" w:afterLines="0" w:line="560" w:lineRule="exact"/>
        <w:jc w:val="center"/>
        <w:rPr>
          <w:rFonts w:hint="default" w:ascii="Times New Roman" w:hAnsi="Times New Roman" w:cs="Times New Roman"/>
          <w:color w:val="auto"/>
          <w:sz w:val="32"/>
          <w:szCs w:val="32"/>
          <w:lang w:val="en-US" w:eastAsia="zh-CN"/>
        </w:rPr>
      </w:pPr>
    </w:p>
    <w:p w14:paraId="1FF0EC1B">
      <w:pPr>
        <w:pStyle w:val="3"/>
        <w:kinsoku/>
        <w:bidi w:val="0"/>
        <w:spacing w:before="0" w:beforeLines="0" w:after="0" w:afterLines="0" w:line="560" w:lineRule="exact"/>
        <w:jc w:val="center"/>
        <w:rPr>
          <w:rFonts w:hint="default" w:ascii="Times New Roman" w:hAnsi="Times New Roman" w:cs="Times New Roman"/>
          <w:color w:val="auto"/>
          <w:sz w:val="32"/>
          <w:szCs w:val="32"/>
          <w:lang w:val="en-US" w:eastAsia="zh-CN"/>
        </w:rPr>
      </w:pPr>
    </w:p>
    <w:bookmarkEnd w:id="47"/>
    <w:p w14:paraId="09632A7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p>
    <w:p w14:paraId="4E3AEB5B">
      <w:pPr>
        <w:pStyle w:val="3"/>
        <w:kinsoku/>
        <w:bidi w:val="0"/>
        <w:spacing w:before="0" w:beforeLines="0" w:after="0" w:afterLines="0" w:line="560" w:lineRule="exact"/>
        <w:jc w:val="center"/>
        <w:rPr>
          <w:rFonts w:hint="default" w:ascii="Times New Roman" w:hAnsi="Times New Roman" w:cs="Times New Roman"/>
          <w:color w:val="auto"/>
          <w:sz w:val="32"/>
          <w:szCs w:val="32"/>
          <w:lang w:val="en-US" w:eastAsia="zh-CN"/>
        </w:rPr>
      </w:pPr>
      <w:r>
        <w:rPr>
          <w:rFonts w:hint="default" w:ascii="Times New Roman" w:hAnsi="Times New Roman" w:cs="Times New Roman"/>
          <w:color w:val="auto"/>
          <w:sz w:val="32"/>
          <w:szCs w:val="32"/>
          <w:lang w:val="en-US" w:eastAsia="zh-CN"/>
        </w:rPr>
        <w:t>第十章 统筹兼顾守底线 固本强基筑平安</w:t>
      </w:r>
    </w:p>
    <w:p w14:paraId="33EE9AC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0" w:firstLineChars="0"/>
        <w:jc w:val="both"/>
        <w:textAlignment w:val="baseline"/>
        <w:rPr>
          <w:rFonts w:hint="default" w:ascii="Times New Roman" w:hAnsi="Times New Roman" w:eastAsia="仿宋_GB2312" w:cs="Times New Roman"/>
          <w:color w:val="auto"/>
          <w:lang w:val="en-US" w:eastAsia="zh-CN"/>
        </w:rPr>
      </w:pPr>
    </w:p>
    <w:p w14:paraId="7D1FA434">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统筹高质量发展和高水平安全，健全经开区风险防控体系，精准防范、有效化解、严格管控各类社会稳定风险，全面提升平安经开区建设科学化、社会化、法治化、智能化水平，强化综治平安建设体系支撑，筑牢安全发展底线，为经开区经济社会高质量发展营造安全、稳定、有序的良好环境。</w:t>
      </w:r>
    </w:p>
    <w:p w14:paraId="1D328B7F">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8" w:name="_Toc18607"/>
      <w:r>
        <w:rPr>
          <w:rFonts w:hint="default" w:ascii="Times New Roman" w:hAnsi="Times New Roman" w:cs="Times New Roman"/>
          <w:color w:val="auto"/>
          <w:lang w:val="en-US" w:eastAsia="zh-CN"/>
        </w:rPr>
        <w:t>第一节 强化党建引领创新治理格局</w:t>
      </w:r>
      <w:bookmarkEnd w:id="48"/>
    </w:p>
    <w:p w14:paraId="4EB71DEF">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一、抓好新兴领域党的建设</w:t>
      </w:r>
    </w:p>
    <w:p w14:paraId="18B1B2BE">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以新兴领域高质量党建引领高质量发展为核心，实施组织覆盖、示范创建、红雁培育、发展赋能、治理融合五大“红色引擎”工程，实现党建强、发展强、治理强。持续巩固“两个覆盖”攻坚成效，动态保持有党员的“两新”组织党组织覆盖率100%，强化党组织规范化建设，推动“有形覆盖”向“有效覆盖”转变；深化推行“双向进入、交叉任职”“双向培养”等制度，围绕产业特点、发展需求、融合实效，培育10个以上特色党建示范品牌；持续加强党员出资人（书记）、党务工作者、党建工作指导员培训管理，逐步实现党员轮训全覆盖</w:t>
      </w:r>
      <w:r>
        <w:rPr>
          <w:rFonts w:hint="eastAsia" w:ascii="Times New Roman" w:hAnsi="Times New Roman" w:cs="Times New Roman"/>
          <w:color w:val="auto"/>
          <w:lang w:val="en-US" w:eastAsia="zh-CN"/>
        </w:rPr>
        <w:t>；</w:t>
      </w:r>
      <w:r>
        <w:rPr>
          <w:rFonts w:hint="default" w:ascii="Times New Roman" w:hAnsi="Times New Roman" w:eastAsia="仿宋_GB2312" w:cs="Times New Roman"/>
          <w:color w:val="auto"/>
          <w:lang w:val="en-US" w:eastAsia="zh-CN"/>
        </w:rPr>
        <w:t>深化园区社区化建设，整合资源推出“党建惠企”服务包，每年帮助企业和职工解决困难问题不少于200个，</w:t>
      </w:r>
      <w:r>
        <w:rPr>
          <w:rFonts w:hint="eastAsia" w:ascii="Times New Roman" w:hAnsi="Times New Roman" w:eastAsia="仿宋_GB2312" w:cs="仿宋_GB2312"/>
          <w:color w:val="auto"/>
          <w:sz w:val="32"/>
          <w:szCs w:val="32"/>
          <w:lang w:val="en-US" w:eastAsia="zh-CN"/>
        </w:rPr>
        <w:t>建立新就业群体诉求响应闭环机制，累计建设“友好场景”10处、选聘“流动小巷管家”100名。</w:t>
      </w:r>
      <w:r>
        <w:rPr>
          <w:rFonts w:hint="default" w:ascii="Times New Roman" w:hAnsi="Times New Roman" w:eastAsia="仿宋_GB2312" w:cs="Times New Roman"/>
          <w:color w:val="auto"/>
          <w:lang w:val="en-US" w:eastAsia="zh-CN"/>
        </w:rPr>
        <w:t>到2030年，建成“组织体系严密、作用发挥突出、融合发展高效、品牌影响广泛”的党建高地。</w:t>
      </w:r>
    </w:p>
    <w:p w14:paraId="2ABDCB57">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二、加强党建引领基层治理和基层政权建设</w:t>
      </w:r>
    </w:p>
    <w:p w14:paraId="098E1CB7">
      <w:pPr>
        <w:pStyle w:val="2"/>
        <w:spacing w:before="0" w:beforeLines="0" w:afterLines="0"/>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b w:val="0"/>
          <w:bCs w:val="0"/>
          <w:color w:val="auto"/>
          <w:sz w:val="32"/>
          <w:szCs w:val="32"/>
          <w:lang w:val="en-US" w:eastAsia="zh-CN"/>
        </w:rPr>
        <w:t>强化基层党组织领导作用，全面实施乡镇（街道）履行职责事项清单，健全村（社区）工作事项准入制度，有效整合资源，持续推动资源、服务、管理等下沉基层，加强基层服务管理力量配置，强化服务设施和经费保障，持续为基层减负赋能。健全党组织领导的自治、法治、德治相结合的城乡基层治理体系。发挥人民群众主体作用，引导各类群体通过“经邻一家”社区运营、“红茶议事会”等渠道有序参与社会治理，组建楼委会等自治组织超50支，每年举办社区市集100场次以上，依托各类议事协商活动，化解小区环境整治、设施改造、邻里纠纷等基层问题。强化社区工作者队伍建设，确保每万城镇常住人口拥有社区工作者18人以上；开展针对性精准培训，实现社区专职工作人员每3年轮训1次；组织社区工作者参加全国社会工作者职业能力培训、考试，力争2030年持证人员比例达到80%以上。</w:t>
      </w:r>
    </w:p>
    <w:p w14:paraId="6CC62EDF">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三、做好志愿服务工作</w:t>
      </w:r>
    </w:p>
    <w:p w14:paraId="7F7D622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实施“志愿者倍增计划”。深化社区动员、线上平台拓展和单位共建，力争5年内净增注册志愿者4—5个百分点，到2030年末，推动全区实名注册志愿者占常住人口比例提升至40%左右。重点做强区志愿服务联合会枢纽功能，将其建设为统筹有力、辐射广泛的志愿服务体系核心，5年内推动联合会企业会员单位数量实现翻番，年均孵化或引进专业组织不少于2个。系统整合部门、镇街资源，构建“横向联动、纵向贯通”的志愿服务工作格局，有效凝聚和发挥专业志愿服务力量。实施品牌培育计划，力争每年打造5—8个市级重点志愿服务项目，到2030年，形成一批具有显著辨识度和广泛影响力的区域品牌。</w:t>
      </w:r>
    </w:p>
    <w:p w14:paraId="7E2F2463">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化智慧平台应用。完善“需求摸排－项目设计－精准对接－效果评估”闭环管理机制，每年重点打造5—10个“小而美、专而精”的常态化志愿服务项目，显著提升服务供给与民生需求的匹配度。建立健全常态化宣传激励机制，每年选树宣传不少于20名优秀志愿者、10个优秀项目及组织典型。推动志愿服务宣传进社区、进校园、进企业、进机关，弘扬“奉献、友爱、互助、进步”的志愿精神，培育社会新风尚。通过五年系统推进，构建参与广泛、组织有力、品牌突出、服务精准、文化浓厚的志愿服务新格局。</w:t>
      </w:r>
    </w:p>
    <w:p w14:paraId="4782EDBD">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49" w:name="_Toc12077"/>
      <w:r>
        <w:rPr>
          <w:rFonts w:hint="default" w:ascii="Times New Roman" w:hAnsi="Times New Roman" w:cs="Times New Roman"/>
          <w:color w:val="auto"/>
          <w:lang w:val="en-US" w:eastAsia="zh-CN"/>
        </w:rPr>
        <w:t>第二节 坚持防控一体筑牢安全屏障</w:t>
      </w:r>
      <w:bookmarkEnd w:id="49"/>
    </w:p>
    <w:p w14:paraId="37DBA820">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一、坚决捍卫经区政治安全防线</w:t>
      </w:r>
    </w:p>
    <w:p w14:paraId="42452FE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严格落实国家安全工作责任制，严密防范和严厉打击境内外敌对势力渗透、破坏、颠覆、分裂活动。严格落实反恐怖工作责任制，保持对暴恐活动严打高压态势，守住不发生暴恐活动底线。严格落实省、市实施国家重大活动保障有关要求，做好重大活动安全防控。严格落实意识形态工作责任制，加强常态化舆情监测研判，强化网络空间综合治理，确保意识形态安全。巩固国家安全人民防线，开展国家安全宣传教育。</w:t>
      </w:r>
    </w:p>
    <w:p w14:paraId="5C2AE3AF">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二、维护区域社会安全稳定秩序</w:t>
      </w:r>
    </w:p>
    <w:p w14:paraId="7C3B3D8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严厉打击恐暴、黄赌毒等威胁人民群众生命财产安全的违法犯罪活动，坚持专群结合、群防群治，完善立体化、智能化社会治安防控体系，推进扫黑除恶常态化。夯实社会治安防控能力，持续开展“智慧平安小区”建设，强化公共区域视频监控建设，提升点位覆盖率，推动数据共享和应用。构建源头防控、排查梳理、纠纷化解、应急处置的社会矛盾综合治理机制，坚持和发展新时代“枫桥经验”，畅通和规范群众诉求表达、利益协调、权益保障通道，完善信访制度。</w:t>
      </w:r>
    </w:p>
    <w:p w14:paraId="2E769F67">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三、提升应急统筹管理处置水平</w:t>
      </w:r>
    </w:p>
    <w:p w14:paraId="09ADBB8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在生产、消防、防洪等重点领域，强化专业应急队伍建设，加快推进多种形式应急力量和队站建设，强化城市综合应急救援保障体系，提升应急救援装备现代化水平。提升风险预警能力，做好风险源及应急资源的大数据管理，强化预警信息发布终端建设。提升综合应急救援能力，健全区域突发事件协同应对和联合指挥机制、区域应急资源合作共享机制、区域应急平台互联互通机制。完善应急救援物资储备，建立安全可靠高效的疏散救援通道系统。强化应急教育，加快应急教育公共设施建设，推进日常应急教育进学校、进社区、进企业。</w:t>
      </w:r>
    </w:p>
    <w:p w14:paraId="4CE3CFD9">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四、筑牢安全生产责任防护体系</w:t>
      </w:r>
    </w:p>
    <w:p w14:paraId="35CFE8C7">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落实完善安全生产责任和监管机制，严格落实党政主要负责人是本地区安全生产第一责任人机制，严格落实生产经营单位安全生产主体责任机制，严格落实企业安全生产标准化建设。提升安全监管效能，推动安全生产监督关口前移，强化源头管控，着力构建集规划设计、重点行业领域、工艺设备材料、特殊场所、人员素质“五位一体”的源头管控和安全准入制度体系。强化重点领域生产安全问题管控，开展交通、工程建设、零售餐饮、医疗卫生、征地拆迁等重点领域的安全隐患排查和专项整治，对食品、药品、危险化学品等领域的生产、运输、储存进行全过程智能监管，做好传统事故隐患和非传统安全排查治理工作。</w:t>
      </w:r>
    </w:p>
    <w:p w14:paraId="167DFABD">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五、完善区域生态安全保障体系</w:t>
      </w:r>
    </w:p>
    <w:p w14:paraId="760661B8">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树牢生态文明理念，坚持“绿水青山就是金山银山”，资源保护和生态风险防控两手抓，确保发展与生态空间承载能力相适应。提高生态风险防控能力。构建“智慧环保”管理平台，整合污染源在线监控等多项管理业务，强化对重点区域和领域的监测。健全城市防洪体系，科学规划建设排水系统，合理设置防洪标准。加强土壤污染风险管理能力建设，健全土壤环境监测网络，实现土壤环境质量监测点位全覆盖。强化经区联防联控联治，完善空气质量监测网络体系，严控企业污染排放。</w:t>
      </w:r>
    </w:p>
    <w:p w14:paraId="0B8F03DE">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0" w:name="_Toc30624"/>
      <w:r>
        <w:rPr>
          <w:rFonts w:hint="default" w:ascii="Times New Roman" w:hAnsi="Times New Roman" w:cs="Times New Roman"/>
          <w:color w:val="auto"/>
          <w:lang w:val="en-US" w:eastAsia="zh-CN"/>
        </w:rPr>
        <w:t>第三节 深化崇法善治夯实法治根基</w:t>
      </w:r>
      <w:bookmarkEnd w:id="50"/>
    </w:p>
    <w:p w14:paraId="23C9C6E4">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一、增强领导干部法治素养和依法履职能力</w:t>
      </w:r>
    </w:p>
    <w:p w14:paraId="5B51005F">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深入学习宣传贯彻习近平法治思想，严格执行党内法规，全面落实党政主要负责人履行推进法治建设第一责任人职责，进一步压实领导干部推进法治建设主体责任，健全完善述法评议、结果运用等制度机制。强化领导干部学法用法制度，通过案例教学、旁听庭审等方式，提升领导干部运用法治思维和法治方式深化改革、推动发展、化解矛盾、维护稳定、应对风险的意</w:t>
      </w:r>
      <w:r>
        <w:rPr>
          <w:rFonts w:hint="default" w:ascii="Times New Roman" w:hAnsi="Times New Roman" w:cs="Times New Roman"/>
          <w:color w:val="auto"/>
          <w:lang w:val="en-US" w:eastAsia="zh-CN"/>
        </w:rPr>
        <w:t>识和</w:t>
      </w:r>
      <w:r>
        <w:rPr>
          <w:rFonts w:hint="default" w:ascii="Times New Roman" w:hAnsi="Times New Roman" w:eastAsia="仿宋_GB2312" w:cs="Times New Roman"/>
          <w:color w:val="auto"/>
          <w:lang w:val="en-US" w:eastAsia="zh-CN"/>
        </w:rPr>
        <w:t>能力。加强对司法活动的监督，严格执行防止干预司法“三个规定”。</w:t>
      </w:r>
    </w:p>
    <w:p w14:paraId="6B0C1DA8">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二、深化法治政府建设</w:t>
      </w:r>
    </w:p>
    <w:p w14:paraId="34A2AAA6">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firstLineChars="20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严格遵循重大行政决策、行政规范性文件制定程序，全面落实备案审查制度，发挥党政一体法律顾问审核把关作用，推进科学民主依法决策。严格规范公正文明执法，持续优化法治化营商环境。加强行政执法协调监督，定期开展执法案卷评查等监督活动。鼓励工作人员参加法律职业资格考试、申请公职律师、申领行政执法资格，提升依法行政能力。持续推进司法所规范化建设，强化基层司法行政工作质效。</w:t>
      </w:r>
    </w:p>
    <w:p w14:paraId="302FAE1C">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三、推进法治社会建设</w:t>
      </w:r>
    </w:p>
    <w:p w14:paraId="73C1FB7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ind w:firstLine="640"/>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加强宪法法律学习宣传教育，精准落实“谁执法谁普法”责任制，完善履职评议机制，以法治考核为抓手，进一步压实普法宣传主体责任，推动全社会树立法治意识。完善公共法律服务体系建设，</w:t>
      </w:r>
      <w:r>
        <w:rPr>
          <w:rFonts w:hint="eastAsia" w:ascii="宋体" w:hAnsi="宋体" w:eastAsia="仿宋_GB2312" w:cs="仿宋_GB2312"/>
          <w:b w:val="0"/>
          <w:bCs w:val="0"/>
          <w:color w:val="auto"/>
          <w:kern w:val="2"/>
          <w:sz w:val="32"/>
          <w:szCs w:val="32"/>
          <w:highlight w:val="none"/>
          <w:lang w:val="en-US" w:eastAsia="zh-CN" w:bidi="ar-SA"/>
        </w:rPr>
        <w:t>不断完善以人民调解为基础，人民调解、行政调解、司法调解和商事调解、行业性专业性调解优势互补</w:t>
      </w:r>
      <w:r>
        <w:rPr>
          <w:rFonts w:hint="eastAsia" w:ascii="Times New Roman" w:hAnsi="Times New Roman" w:eastAsia="仿宋_GB2312" w:cs="Times New Roman"/>
          <w:color w:val="auto"/>
          <w:kern w:val="0"/>
          <w:sz w:val="32"/>
          <w:szCs w:val="32"/>
          <w:lang w:val="en-US" w:eastAsia="zh-CN" w:bidi="ar-SA"/>
        </w:rPr>
        <w:t>、有机衔接、协调联动的大调解工作体系</w:t>
      </w:r>
      <w:r>
        <w:rPr>
          <w:rFonts w:hint="eastAsia" w:ascii="宋体" w:hAnsi="宋体" w:cs="仿宋_GB2312"/>
          <w:b w:val="0"/>
          <w:bCs w:val="0"/>
          <w:color w:val="auto"/>
          <w:kern w:val="2"/>
          <w:sz w:val="32"/>
          <w:szCs w:val="32"/>
          <w:highlight w:val="none"/>
          <w:lang w:val="en-US" w:eastAsia="zh-CN" w:bidi="ar-SA"/>
        </w:rPr>
        <w:t>，</w:t>
      </w:r>
      <w:r>
        <w:rPr>
          <w:rFonts w:hint="default" w:ascii="Times New Roman" w:hAnsi="Times New Roman" w:eastAsia="仿宋_GB2312" w:cs="Times New Roman"/>
          <w:color w:val="auto"/>
          <w:lang w:val="en-US" w:eastAsia="zh-CN"/>
        </w:rPr>
        <w:t>推进多层次多领域依法治理，打造更加科学的社会治安防控体系，不断提升群众法治获得感、安全感。</w:t>
      </w:r>
    </w:p>
    <w:p w14:paraId="4D1B48B9">
      <w:pPr>
        <w:pStyle w:val="2"/>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四、强化涉外法律服务能力</w:t>
      </w:r>
    </w:p>
    <w:p w14:paraId="61CB223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加快涉外法治人才培养引进，增加涉外法治服务供给。以智慧谷法务服务中心和威海市企业重整服务中心为前驱，充分运用好国际仲裁院、中韩自贸区法庭、商事调解组织等涉外法治优势资源，为企业提供优质高效的涉外法律服务，打造更优法治化营商环境。</w:t>
      </w:r>
    </w:p>
    <w:p w14:paraId="41B7815B">
      <w:pPr>
        <w:pStyle w:val="23"/>
        <w:pageBreakBefore w:val="0"/>
        <w:widowControl w:val="0"/>
        <w:kinsoku/>
        <w:wordWrap/>
        <w:topLinePunct w:val="0"/>
        <w:bidi w:val="0"/>
        <w:adjustRightInd w:val="0"/>
        <w:snapToGrid w:val="0"/>
        <w:spacing w:beforeLines="0" w:afterLines="0" w:line="560" w:lineRule="exact"/>
        <w:ind w:firstLine="640" w:firstLineChars="200"/>
        <w:jc w:val="both"/>
        <w:rPr>
          <w:rFonts w:hint="default" w:ascii="Times New Roman" w:hAnsi="Times New Roman" w:eastAsia="仿宋_GB2312" w:cs="Times New Roman"/>
          <w:color w:val="auto"/>
          <w:sz w:val="32"/>
          <w:szCs w:val="32"/>
        </w:rPr>
      </w:pPr>
    </w:p>
    <w:p w14:paraId="73FE3CD9">
      <w:pPr>
        <w:pageBreakBefore w:val="0"/>
        <w:widowControl w:val="0"/>
        <w:kinsoku/>
        <w:wordWrap/>
        <w:topLinePunct w:val="0"/>
        <w:bidi w:val="0"/>
        <w:adjustRightInd w:val="0"/>
        <w:snapToGrid w:val="0"/>
        <w:spacing w:beforeLines="0" w:afterLines="0" w:line="560" w:lineRule="exact"/>
        <w:jc w:val="both"/>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br w:type="page"/>
      </w:r>
    </w:p>
    <w:p w14:paraId="019B3BEF">
      <w:pPr>
        <w:pStyle w:val="3"/>
        <w:kinsoku/>
        <w:bidi w:val="0"/>
        <w:spacing w:before="0" w:beforeLines="0" w:after="0" w:afterLines="0" w:line="560" w:lineRule="exact"/>
        <w:rPr>
          <w:rFonts w:hint="default" w:ascii="Times New Roman" w:hAnsi="Times New Roman" w:cs="Times New Roman"/>
          <w:color w:val="auto"/>
          <w:sz w:val="32"/>
          <w:szCs w:val="32"/>
          <w:lang w:val="en-US" w:eastAsia="zh-CN"/>
        </w:rPr>
      </w:pPr>
      <w:bookmarkStart w:id="51" w:name="_Toc19827"/>
      <w:r>
        <w:rPr>
          <w:rFonts w:hint="default" w:ascii="Times New Roman" w:hAnsi="Times New Roman" w:cs="Times New Roman"/>
          <w:color w:val="auto"/>
          <w:sz w:val="32"/>
          <w:szCs w:val="32"/>
          <w:lang w:val="en-US" w:eastAsia="zh-CN"/>
        </w:rPr>
        <w:t>第十一章 凝心聚力强保障 笃行实干促落实</w:t>
      </w:r>
      <w:bookmarkEnd w:id="51"/>
    </w:p>
    <w:p w14:paraId="5BE3D089">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2" w:name="_Toc5541"/>
    </w:p>
    <w:p w14:paraId="06ED89B2">
      <w:pPr>
        <w:pStyle w:val="4"/>
        <w:kinsoku/>
        <w:bidi w:val="0"/>
        <w:spacing w:before="0" w:beforeLines="0" w:after="0" w:afterLines="0" w:line="560" w:lineRule="exact"/>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第一节 坚持和加强党的全面领导</w:t>
      </w:r>
      <w:bookmarkEnd w:id="52"/>
    </w:p>
    <w:p w14:paraId="359D220D">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不懈用习近平新时代中国特色社会主义思想凝心铸魂，深刻领悟“两个确立”的决定性意义，坚决做到“两个维护”，确保习近平总书记重要指示和党中央决策部署落地见效。加强党的政治建设，严格落实各级党委（党组）主体责任，持续提高党组织和党员干部政治判断力、政治领悟力、政治执行力。统筹推进经开区各领域党建工作，始终坚持严的主基调不动摇，锲而不舍落实中央八项规定精神，持续纠治“四风”问题，一体推进不敢腐、不能腐、不想腐，营造风清气正的良好政治生态。坚持党对经济工作的全面领导，深入学习贯彻习近平经济思想，压紧压实工作责任，树立和践行正确政绩观，强化系统观念与统筹协调，提升科学决策能力，推动经济高质量发展。</w:t>
      </w:r>
    </w:p>
    <w:p w14:paraId="67508FFA">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3" w:name="_Toc6780"/>
      <w:r>
        <w:rPr>
          <w:rFonts w:hint="default" w:ascii="Times New Roman" w:hAnsi="Times New Roman" w:cs="Times New Roman"/>
          <w:color w:val="auto"/>
          <w:lang w:val="en-US" w:eastAsia="zh-CN"/>
        </w:rPr>
        <w:t>第二节 健全完善配套政策体系</w:t>
      </w:r>
      <w:bookmarkEnd w:id="53"/>
    </w:p>
    <w:p w14:paraId="66321479">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聚焦现代化产业体系、科技创新、数字化赋能、绿色化转型、企业培育等重点领域，研究出台相关配套政策措施，率先形成创新性、突破性制度成果。积极争取承担国家和省级改革试点、探索示范任务，努力在构建现代化产业体系、科技创新、数字化和绿色化改造、大中小企业融通发展等方面先行先试，探索经验、示范带动。</w:t>
      </w:r>
    </w:p>
    <w:p w14:paraId="425A4E30">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4" w:name="_Toc1121"/>
      <w:r>
        <w:rPr>
          <w:rFonts w:hint="default" w:ascii="Times New Roman" w:hAnsi="Times New Roman" w:cs="Times New Roman"/>
          <w:color w:val="auto"/>
          <w:lang w:val="en-US" w:eastAsia="zh-CN"/>
        </w:rPr>
        <w:t>第三节 深化政企协同联动机制</w:t>
      </w:r>
      <w:bookmarkEnd w:id="54"/>
    </w:p>
    <w:p w14:paraId="5FFC35A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健全完善政企协同联动、高效融合发展机制，坚持政府引导、企业主体、市场运作，强化政策协同、要素协同、服务协同与创新协同。以政企合力高效推进新型工业化，精准培育壮大优势产业集群，全面提升产业技术创新与成果转化能力，聚力打好产业转型升级攻坚战。聚焦强链补链延链，协同破解产业发展堵点难点，切实增强产业链供应链稳定性和竞争力，有力保障国家产业链供应链安全稳定，以深度政企融合赋能产业高质量发展、支撑区域现代化建设。</w:t>
      </w:r>
    </w:p>
    <w:p w14:paraId="3A132383">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5" w:name="_Toc27490"/>
      <w:r>
        <w:rPr>
          <w:rFonts w:hint="default" w:ascii="Times New Roman" w:hAnsi="Times New Roman" w:cs="Times New Roman"/>
          <w:color w:val="auto"/>
          <w:lang w:val="en-US" w:eastAsia="zh-CN"/>
        </w:rPr>
        <w:t>第四节 强化关键要素精准保障</w:t>
      </w:r>
      <w:bookmarkEnd w:id="55"/>
    </w:p>
    <w:p w14:paraId="304E9171">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树牢“项目为王”理念，坚持“要素跟着项目走”，紧跟政策导向、市场动向、资金投向、产业方向，深入论证、滚动谋划实施一批强基础、增动能、利长远重大项目。制定重大工程项目清单，围绕项目签约、审批、建设、纳统、竣工达产等各阶段，完善重大项目全流程监管和分级分类协调推进体系，高效保障项目投产运营。推行“信用承诺制+标准地+帮办代办+信易贷模式”，实现项目“拿地即开工”。</w:t>
      </w:r>
    </w:p>
    <w:p w14:paraId="3D62677F">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6" w:name="_Toc24192"/>
      <w:r>
        <w:rPr>
          <w:rFonts w:hint="default" w:ascii="Times New Roman" w:hAnsi="Times New Roman" w:cs="Times New Roman"/>
          <w:color w:val="auto"/>
          <w:lang w:val="en-US" w:eastAsia="zh-CN"/>
        </w:rPr>
        <w:t>第五节 构筑人才引育留用体系</w:t>
      </w:r>
      <w:bookmarkEnd w:id="56"/>
    </w:p>
    <w:p w14:paraId="76E1939A">
      <w:pPr>
        <w:pStyle w:val="6"/>
        <w:keepNext w:val="0"/>
        <w:keepLines w:val="0"/>
        <w:pageBreakBefore w:val="0"/>
        <w:widowControl w:val="0"/>
        <w:kinsoku/>
        <w:wordWrap/>
        <w:overflowPunct w:val="0"/>
        <w:topLinePunct w:val="0"/>
        <w:autoSpaceDE w:val="0"/>
        <w:autoSpaceDN w:val="0"/>
        <w:bidi w:val="0"/>
        <w:adjustRightInd w:val="0"/>
        <w:snapToGrid w:val="0"/>
        <w:spacing w:before="0" w:beforeLines="0" w:afterLines="0" w:line="560" w:lineRule="exact"/>
        <w:jc w:val="both"/>
        <w:textAlignment w:val="baseline"/>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坚持引进和培养相结合、引才和引智相结合，引进一批产业领军人才和创新团队，培养一批本土领军人才和学科带头人。进一步加大行政机关干部和企业管理干部的挂职交流力度，通过挂职锻炼解放思想、开阔视野、转变作风、增长才干。对接威海市内职业教育优质资源，加大重点产业技能人才培育力度，支持职业院校与经开区内企业联合开展特色学徒制、现场工程师技能人才培养，加快构建现代职业教育体系，为经开区全面转型高质量发展提供人才和技能支撑。大力弘扬企业家精神和工匠精神，办好“经开区企业家日”系列活动，鼓励企业家坚守实业、办好企业、争创一流，为推进新型工业化注入强大精神动力。</w:t>
      </w:r>
    </w:p>
    <w:p w14:paraId="2C9E89F7">
      <w:pPr>
        <w:pStyle w:val="4"/>
        <w:kinsoku/>
        <w:bidi w:val="0"/>
        <w:spacing w:before="0" w:beforeLines="0" w:after="0" w:afterLines="0" w:line="560" w:lineRule="exact"/>
        <w:rPr>
          <w:rFonts w:hint="default" w:ascii="Times New Roman" w:hAnsi="Times New Roman" w:cs="Times New Roman"/>
          <w:color w:val="auto"/>
          <w:lang w:val="en-US" w:eastAsia="zh-CN"/>
        </w:rPr>
      </w:pPr>
      <w:bookmarkStart w:id="57" w:name="_Toc2613"/>
      <w:r>
        <w:rPr>
          <w:rFonts w:hint="default" w:ascii="Times New Roman" w:hAnsi="Times New Roman" w:cs="Times New Roman"/>
          <w:color w:val="auto"/>
          <w:lang w:val="en-US" w:eastAsia="zh-CN"/>
        </w:rPr>
        <w:t>第六节 加大财税金融支持力度</w:t>
      </w:r>
      <w:bookmarkEnd w:id="57"/>
    </w:p>
    <w:p w14:paraId="3973AF93">
      <w:pPr>
        <w:pStyle w:val="6"/>
        <w:widowControl w:val="0"/>
        <w:kinsoku/>
        <w:overflowPunct w:val="0"/>
        <w:spacing w:before="0" w:beforeLines="0" w:afterLines="0" w:line="560" w:lineRule="exact"/>
        <w:jc w:val="both"/>
        <w:rPr>
          <w:rFonts w:ascii="Times New Roman" w:hAnsi="Times New Roman" w:cs="Times New Roman"/>
          <w:color w:val="auto"/>
        </w:rPr>
      </w:pPr>
      <w:r>
        <w:rPr>
          <w:rFonts w:hint="default" w:ascii="Times New Roman" w:hAnsi="Times New Roman" w:eastAsia="仿宋_GB2312" w:cs="Times New Roman"/>
          <w:color w:val="auto"/>
          <w:lang w:val="en-US" w:eastAsia="zh-CN"/>
        </w:rPr>
        <w:t>强化政策供给，加大对推进科技创新、产业创新的资金保障，充分发挥财政资金“四两拨千斤”作用，引导</w:t>
      </w:r>
      <w:r>
        <w:rPr>
          <w:rFonts w:hint="default" w:ascii="Times New Roman" w:hAnsi="Times New Roman" w:cs="Times New Roman"/>
          <w:color w:val="auto"/>
          <w:lang w:val="en-US" w:eastAsia="zh-CN"/>
        </w:rPr>
        <w:t>经开区</w:t>
      </w:r>
      <w:r>
        <w:rPr>
          <w:rFonts w:hint="default" w:ascii="Times New Roman" w:hAnsi="Times New Roman" w:eastAsia="仿宋_GB2312" w:cs="Times New Roman"/>
          <w:color w:val="auto"/>
          <w:lang w:val="en-US" w:eastAsia="zh-CN"/>
        </w:rPr>
        <w:t>内产业和企业加快升级转型，做优做强实体经济。认真落实研发费用加计扣除、增值税加计抵减等税收优惠政策，发挥税收政策对企业转型升级和技术进步的引导作用。加大政银企对接力度，定期召开政银企对接会，引导银行业金融机构扩大中长期贷款、信用贷款规模，发放中长期贷款。落实落细金融顾问制度，积极为企业提供个性化、差异化和精细化的公益金融业务服务。</w:t>
      </w:r>
    </w:p>
    <w:sectPr>
      <w:footerReference r:id="rId7"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汉仪中宋简">
    <w:altName w:val="宋体"/>
    <w:panose1 w:val="02010600000101010101"/>
    <w:charset w:val="86"/>
    <w:family w:val="auto"/>
    <w:pitch w:val="default"/>
    <w:sig w:usb0="00000000" w:usb1="00000000" w:usb2="00000002"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国标楷体">
    <w:altName w:val="楷体_GB2312"/>
    <w:panose1 w:val="02000500000000000000"/>
    <w:charset w:val="86"/>
    <w:family w:val="auto"/>
    <w:pitch w:val="default"/>
    <w:sig w:usb0="00000000" w:usb1="00000000" w:usb2="00000000" w:usb3="00000000" w:csb0="00060007" w:csb1="00000000"/>
  </w:font>
  <w:font w:name="MS PGothic">
    <w:panose1 w:val="020B0600070205080204"/>
    <w:charset w:val="80"/>
    <w:family w:val="auto"/>
    <w:pitch w:val="default"/>
    <w:sig w:usb0="E00002FF" w:usb1="6AC7FDFB" w:usb2="08000012" w:usb3="00000000" w:csb0="4002009F" w:csb1="DFD7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F22BD">
    <w:pPr>
      <w:pStyle w:val="14"/>
      <w:ind w:left="0" w:leftChars="0"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E1943">
    <w:pPr>
      <w:pStyle w:val="14"/>
      <w:ind w:left="0" w:leftChars="0" w:firstLine="0" w:firstLineChars="0"/>
    </w:pPr>
    <w:r>
      <w:rPr>
        <w:sz w:val="32"/>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853C1F">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2853C1F">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933CE">
    <w:pPr>
      <w:spacing w:line="358" w:lineRule="exact"/>
      <w:ind w:left="4292"/>
      <w:rPr>
        <w:rFonts w:ascii="Arial" w:hAnsi="Arial" w:eastAsia="Arial" w:cs="Arial"/>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945FE6">
                          <w:pPr>
                            <w:pStyle w:val="10"/>
                          </w:pPr>
                          <w:r>
                            <w:fldChar w:fldCharType="begin"/>
                          </w:r>
                          <w:r>
                            <w:instrText xml:space="preserve"> PAGE  \* MERGEFORMAT </w:instrText>
                          </w:r>
                          <w:r>
                            <w:fldChar w:fldCharType="separate"/>
                          </w:r>
                          <w:r>
                            <w:t>101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6945FE6">
                    <w:pPr>
                      <w:pStyle w:val="10"/>
                    </w:pPr>
                    <w:r>
                      <w:fldChar w:fldCharType="begin"/>
                    </w:r>
                    <w:r>
                      <w:instrText xml:space="preserve"> PAGE  \* MERGEFORMAT </w:instrText>
                    </w:r>
                    <w:r>
                      <w:fldChar w:fldCharType="separate"/>
                    </w:r>
                    <w:r>
                      <w:t>101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7EC683"/>
    <w:multiLevelType w:val="singleLevel"/>
    <w:tmpl w:val="3C7EC683"/>
    <w:lvl w:ilvl="0" w:tentative="0">
      <w:start w:val="1"/>
      <w:numFmt w:val="chineseCounting"/>
      <w:suff w:val="space"/>
      <w:lvlText w:val="第%1章"/>
      <w:lvlJc w:val="left"/>
      <w:rPr>
        <w:rFonts w:hint="eastAsia"/>
      </w:rPr>
    </w:lvl>
  </w:abstractNum>
  <w:abstractNum w:abstractNumId="1">
    <w:nsid w:val="77BC75BE"/>
    <w:multiLevelType w:val="singleLevel"/>
    <w:tmpl w:val="77BC75BE"/>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D62FEE"/>
    <w:rsid w:val="017304C8"/>
    <w:rsid w:val="03E47CA3"/>
    <w:rsid w:val="05184F9C"/>
    <w:rsid w:val="054E09BE"/>
    <w:rsid w:val="0617220C"/>
    <w:rsid w:val="06FEDD32"/>
    <w:rsid w:val="07B748FD"/>
    <w:rsid w:val="07C86D9E"/>
    <w:rsid w:val="07E131BE"/>
    <w:rsid w:val="08AF6EBB"/>
    <w:rsid w:val="092B680F"/>
    <w:rsid w:val="0BA008C6"/>
    <w:rsid w:val="0BD71865"/>
    <w:rsid w:val="0BE90AC2"/>
    <w:rsid w:val="0D3A1F53"/>
    <w:rsid w:val="0DC84C9D"/>
    <w:rsid w:val="0E7A1AEE"/>
    <w:rsid w:val="0EC243DB"/>
    <w:rsid w:val="0F884141"/>
    <w:rsid w:val="0FFD007E"/>
    <w:rsid w:val="102F139C"/>
    <w:rsid w:val="10666597"/>
    <w:rsid w:val="106D2640"/>
    <w:rsid w:val="10EDA41D"/>
    <w:rsid w:val="12851680"/>
    <w:rsid w:val="130A061A"/>
    <w:rsid w:val="13740A82"/>
    <w:rsid w:val="14060DE1"/>
    <w:rsid w:val="14740441"/>
    <w:rsid w:val="14B922F8"/>
    <w:rsid w:val="157F52EF"/>
    <w:rsid w:val="164C1C72"/>
    <w:rsid w:val="177C5721"/>
    <w:rsid w:val="17C11D07"/>
    <w:rsid w:val="18336A74"/>
    <w:rsid w:val="183D3DB6"/>
    <w:rsid w:val="1872382B"/>
    <w:rsid w:val="19127F94"/>
    <w:rsid w:val="1A392FE0"/>
    <w:rsid w:val="1B91715B"/>
    <w:rsid w:val="1BC31618"/>
    <w:rsid w:val="1C511311"/>
    <w:rsid w:val="1D5F35A6"/>
    <w:rsid w:val="1D6360A6"/>
    <w:rsid w:val="1D8D6E28"/>
    <w:rsid w:val="1DD17F64"/>
    <w:rsid w:val="1DFD14A7"/>
    <w:rsid w:val="1E462178"/>
    <w:rsid w:val="1E981141"/>
    <w:rsid w:val="1FD70506"/>
    <w:rsid w:val="201C401E"/>
    <w:rsid w:val="20601879"/>
    <w:rsid w:val="20A313AA"/>
    <w:rsid w:val="21391D7E"/>
    <w:rsid w:val="219536BB"/>
    <w:rsid w:val="22803FAB"/>
    <w:rsid w:val="22882680"/>
    <w:rsid w:val="229E2B2D"/>
    <w:rsid w:val="22A279BF"/>
    <w:rsid w:val="22E76282"/>
    <w:rsid w:val="233F7E6C"/>
    <w:rsid w:val="2345176A"/>
    <w:rsid w:val="2485781C"/>
    <w:rsid w:val="24B07B87"/>
    <w:rsid w:val="25A32999"/>
    <w:rsid w:val="26193812"/>
    <w:rsid w:val="26350A66"/>
    <w:rsid w:val="26A91E6B"/>
    <w:rsid w:val="2A5D3000"/>
    <w:rsid w:val="2A9D15F2"/>
    <w:rsid w:val="2AC919F0"/>
    <w:rsid w:val="2AF70550"/>
    <w:rsid w:val="2BF65788"/>
    <w:rsid w:val="2C444C1A"/>
    <w:rsid w:val="2CBF1D70"/>
    <w:rsid w:val="2D4A11B2"/>
    <w:rsid w:val="2D6E2BF8"/>
    <w:rsid w:val="2E981490"/>
    <w:rsid w:val="2EFF0B5F"/>
    <w:rsid w:val="30157C3F"/>
    <w:rsid w:val="30FC8231"/>
    <w:rsid w:val="3149254A"/>
    <w:rsid w:val="35BD4BE3"/>
    <w:rsid w:val="385D12C4"/>
    <w:rsid w:val="38653A79"/>
    <w:rsid w:val="38DF5FF4"/>
    <w:rsid w:val="39FA50A1"/>
    <w:rsid w:val="3AF13CEA"/>
    <w:rsid w:val="3B6C2F68"/>
    <w:rsid w:val="3B7E37CC"/>
    <w:rsid w:val="3BD41BB4"/>
    <w:rsid w:val="3BF9BD83"/>
    <w:rsid w:val="3C1F45B2"/>
    <w:rsid w:val="3D3F4030"/>
    <w:rsid w:val="3D663BAD"/>
    <w:rsid w:val="3E1B0B74"/>
    <w:rsid w:val="3E9D741A"/>
    <w:rsid w:val="3EBB3BE4"/>
    <w:rsid w:val="3FCA68B7"/>
    <w:rsid w:val="3FFBD48D"/>
    <w:rsid w:val="411C3143"/>
    <w:rsid w:val="41462326"/>
    <w:rsid w:val="4268481F"/>
    <w:rsid w:val="42E650B4"/>
    <w:rsid w:val="44ED0266"/>
    <w:rsid w:val="451E392D"/>
    <w:rsid w:val="45322540"/>
    <w:rsid w:val="45B778DE"/>
    <w:rsid w:val="46761547"/>
    <w:rsid w:val="4676244E"/>
    <w:rsid w:val="46E14C12"/>
    <w:rsid w:val="47DF3CCD"/>
    <w:rsid w:val="48DB38E3"/>
    <w:rsid w:val="48FF6F85"/>
    <w:rsid w:val="49661962"/>
    <w:rsid w:val="49B56F49"/>
    <w:rsid w:val="49B91E77"/>
    <w:rsid w:val="4A2B43F6"/>
    <w:rsid w:val="4BF4B175"/>
    <w:rsid w:val="4C3605ED"/>
    <w:rsid w:val="4C874AA6"/>
    <w:rsid w:val="4C8D7623"/>
    <w:rsid w:val="4CAC6B86"/>
    <w:rsid w:val="4D8B3B2A"/>
    <w:rsid w:val="4DAB7BF4"/>
    <w:rsid w:val="4E3FF69B"/>
    <w:rsid w:val="4ED64F12"/>
    <w:rsid w:val="4EDC533F"/>
    <w:rsid w:val="4F33177C"/>
    <w:rsid w:val="4FB365A0"/>
    <w:rsid w:val="505C6225"/>
    <w:rsid w:val="50C06C28"/>
    <w:rsid w:val="52383FF3"/>
    <w:rsid w:val="52CF0703"/>
    <w:rsid w:val="538726B2"/>
    <w:rsid w:val="53F7FD5B"/>
    <w:rsid w:val="552F55B4"/>
    <w:rsid w:val="55324FD5"/>
    <w:rsid w:val="55636BBA"/>
    <w:rsid w:val="558F6AAF"/>
    <w:rsid w:val="55FF9A16"/>
    <w:rsid w:val="57578817"/>
    <w:rsid w:val="5791344F"/>
    <w:rsid w:val="57CE7E1C"/>
    <w:rsid w:val="5843365E"/>
    <w:rsid w:val="5B146244"/>
    <w:rsid w:val="5B2F2CA2"/>
    <w:rsid w:val="5B975C54"/>
    <w:rsid w:val="5D8D3526"/>
    <w:rsid w:val="5E162F9C"/>
    <w:rsid w:val="5F367055"/>
    <w:rsid w:val="5F9C8FB1"/>
    <w:rsid w:val="602D160B"/>
    <w:rsid w:val="607E1401"/>
    <w:rsid w:val="61EF67EB"/>
    <w:rsid w:val="632E0D88"/>
    <w:rsid w:val="633B3D5B"/>
    <w:rsid w:val="63CF92C3"/>
    <w:rsid w:val="63F3ECC6"/>
    <w:rsid w:val="647153D0"/>
    <w:rsid w:val="64DF3743"/>
    <w:rsid w:val="65F714FB"/>
    <w:rsid w:val="67862220"/>
    <w:rsid w:val="67F7C7FA"/>
    <w:rsid w:val="68AD6BF3"/>
    <w:rsid w:val="68DD3617"/>
    <w:rsid w:val="69BCF7EF"/>
    <w:rsid w:val="6A0311FB"/>
    <w:rsid w:val="6A350C4E"/>
    <w:rsid w:val="6A414A77"/>
    <w:rsid w:val="6B9B3807"/>
    <w:rsid w:val="6DA06E9E"/>
    <w:rsid w:val="6DA45833"/>
    <w:rsid w:val="6DF70D27"/>
    <w:rsid w:val="6DFE8320"/>
    <w:rsid w:val="6FBE3493"/>
    <w:rsid w:val="6FE3B6A3"/>
    <w:rsid w:val="70DFF94D"/>
    <w:rsid w:val="710A3C02"/>
    <w:rsid w:val="714F0D95"/>
    <w:rsid w:val="71724535"/>
    <w:rsid w:val="72E12DD9"/>
    <w:rsid w:val="73F92CEC"/>
    <w:rsid w:val="75D62FEE"/>
    <w:rsid w:val="75F75951"/>
    <w:rsid w:val="76CD220E"/>
    <w:rsid w:val="76F0487A"/>
    <w:rsid w:val="776675B6"/>
    <w:rsid w:val="77732C2B"/>
    <w:rsid w:val="777D9F50"/>
    <w:rsid w:val="78CC73D8"/>
    <w:rsid w:val="797F76B7"/>
    <w:rsid w:val="7AB742DE"/>
    <w:rsid w:val="7B9C1CE2"/>
    <w:rsid w:val="7C4398BC"/>
    <w:rsid w:val="7CF7730B"/>
    <w:rsid w:val="7DAE0FEB"/>
    <w:rsid w:val="7DAE8240"/>
    <w:rsid w:val="7DE5550E"/>
    <w:rsid w:val="7DF4A222"/>
    <w:rsid w:val="7EBFF5E0"/>
    <w:rsid w:val="7ECF38CC"/>
    <w:rsid w:val="7EFE4CFE"/>
    <w:rsid w:val="7F1EFD65"/>
    <w:rsid w:val="7F375986"/>
    <w:rsid w:val="7FB2C0CC"/>
    <w:rsid w:val="7FF29930"/>
    <w:rsid w:val="7FF97746"/>
    <w:rsid w:val="7FFECCD5"/>
    <w:rsid w:val="99FD5130"/>
    <w:rsid w:val="A5BD5557"/>
    <w:rsid w:val="A5FFE998"/>
    <w:rsid w:val="B5BF86A4"/>
    <w:rsid w:val="B724DC2E"/>
    <w:rsid w:val="BABBA792"/>
    <w:rsid w:val="BACEF255"/>
    <w:rsid w:val="BB7BBF51"/>
    <w:rsid w:val="BCBB509B"/>
    <w:rsid w:val="BDF755E0"/>
    <w:rsid w:val="BF599FF3"/>
    <w:rsid w:val="BF7FF350"/>
    <w:rsid w:val="BFDDD673"/>
    <w:rsid w:val="BFF39ECC"/>
    <w:rsid w:val="BFFD2979"/>
    <w:rsid w:val="CDF7F606"/>
    <w:rsid w:val="D57B1937"/>
    <w:rsid w:val="D7FF3845"/>
    <w:rsid w:val="DDF16FC7"/>
    <w:rsid w:val="DEB9C72A"/>
    <w:rsid w:val="DEFEDE60"/>
    <w:rsid w:val="DF8734C9"/>
    <w:rsid w:val="DFB1C43B"/>
    <w:rsid w:val="DFDC311E"/>
    <w:rsid w:val="E7A53080"/>
    <w:rsid w:val="EBD76A76"/>
    <w:rsid w:val="EF674689"/>
    <w:rsid w:val="EFEDDD73"/>
    <w:rsid w:val="F1FF16E5"/>
    <w:rsid w:val="F27C8F19"/>
    <w:rsid w:val="F2FE8003"/>
    <w:rsid w:val="F2FFDEF1"/>
    <w:rsid w:val="F57EB906"/>
    <w:rsid w:val="F73059E9"/>
    <w:rsid w:val="F76EE72D"/>
    <w:rsid w:val="F7DDD590"/>
    <w:rsid w:val="F9D8471E"/>
    <w:rsid w:val="FABFC093"/>
    <w:rsid w:val="FAD1350A"/>
    <w:rsid w:val="FAFB507E"/>
    <w:rsid w:val="FBEE198C"/>
    <w:rsid w:val="FBF704EB"/>
    <w:rsid w:val="FD7FBA5C"/>
    <w:rsid w:val="FDEF2103"/>
    <w:rsid w:val="FDFBB9E6"/>
    <w:rsid w:val="FE7F0850"/>
    <w:rsid w:val="FE7FDAC7"/>
    <w:rsid w:val="FF4F80B5"/>
    <w:rsid w:val="FFF4276B"/>
    <w:rsid w:val="FFFA44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3">
    <w:name w:val="heading 1"/>
    <w:basedOn w:val="1"/>
    <w:next w:val="1"/>
    <w:link w:val="19"/>
    <w:qFormat/>
    <w:uiPriority w:val="0"/>
    <w:pPr>
      <w:keepNext/>
      <w:keepLines/>
      <w:tabs>
        <w:tab w:val="left" w:pos="0"/>
      </w:tabs>
      <w:adjustRightInd w:val="0"/>
      <w:snapToGrid w:val="0"/>
      <w:spacing w:before="100" w:beforeLines="100" w:after="50" w:afterLines="50" w:line="360" w:lineRule="auto"/>
      <w:jc w:val="center"/>
      <w:outlineLvl w:val="0"/>
    </w:pPr>
    <w:rPr>
      <w:rFonts w:ascii="Times New Roman" w:hAnsi="Times New Roman" w:eastAsia="黑体" w:cstheme="minorBidi"/>
      <w:b/>
      <w:color w:val="000000" w:themeColor="text1"/>
      <w:kern w:val="44"/>
      <w:sz w:val="36"/>
      <w14:textFill>
        <w14:solidFill>
          <w14:schemeClr w14:val="tx1"/>
        </w14:solidFill>
      </w14:textFill>
    </w:rPr>
  </w:style>
  <w:style w:type="paragraph" w:styleId="4">
    <w:name w:val="heading 2"/>
    <w:basedOn w:val="1"/>
    <w:next w:val="1"/>
    <w:link w:val="18"/>
    <w:unhideWhenUsed/>
    <w:qFormat/>
    <w:uiPriority w:val="0"/>
    <w:pPr>
      <w:adjustRightInd w:val="0"/>
      <w:snapToGrid w:val="0"/>
      <w:spacing w:before="50" w:beforeLines="50" w:beforeAutospacing="0" w:after="50" w:afterLines="50" w:afterAutospacing="0" w:line="560" w:lineRule="exact"/>
      <w:ind w:firstLine="643" w:firstLineChars="200"/>
      <w:jc w:val="left"/>
      <w:outlineLvl w:val="1"/>
    </w:pPr>
    <w:rPr>
      <w:rFonts w:hint="eastAsia" w:ascii="宋体" w:hAnsi="宋体" w:eastAsia="楷体_GB2312" w:cs="宋体"/>
      <w:b/>
      <w:bCs/>
      <w:kern w:val="2"/>
      <w:sz w:val="32"/>
      <w:szCs w:val="36"/>
      <w:lang w:eastAsia="zh-CN" w:bidi="ar"/>
    </w:rPr>
  </w:style>
  <w:style w:type="paragraph" w:styleId="2">
    <w:name w:val="heading 3"/>
    <w:basedOn w:val="1"/>
    <w:next w:val="1"/>
    <w:link w:val="17"/>
    <w:unhideWhenUsed/>
    <w:qFormat/>
    <w:uiPriority w:val="0"/>
    <w:pPr>
      <w:adjustRightInd w:val="0"/>
      <w:snapToGrid w:val="0"/>
      <w:spacing w:before="50" w:beforeLines="50" w:beforeAutospacing="0" w:after="50" w:afterLines="50" w:afterAutospacing="0" w:line="560" w:lineRule="exact"/>
      <w:ind w:firstLine="562" w:firstLineChars="200"/>
      <w:jc w:val="left"/>
      <w:outlineLvl w:val="2"/>
    </w:pPr>
    <w:rPr>
      <w:rFonts w:hint="eastAsia" w:ascii="宋体" w:hAnsi="宋体" w:eastAsia="仿宋_GB2312" w:cs="宋体"/>
      <w:b/>
      <w:bCs/>
      <w:kern w:val="2"/>
      <w:sz w:val="32"/>
      <w:szCs w:val="27"/>
      <w:lang w:val="en-US" w:eastAsia="zh-CN" w:bidi="ar"/>
    </w:rPr>
  </w:style>
  <w:style w:type="paragraph" w:styleId="5">
    <w:name w:val="heading 4"/>
    <w:basedOn w:val="1"/>
    <w:next w:val="1"/>
    <w:semiHidden/>
    <w:unhideWhenUsed/>
    <w:qFormat/>
    <w:uiPriority w:val="0"/>
    <w:pPr>
      <w:keepNext/>
      <w:keepLines/>
      <w:tabs>
        <w:tab w:val="left" w:pos="0"/>
      </w:tabs>
      <w:spacing w:line="360" w:lineRule="auto"/>
      <w:ind w:firstLine="1276" w:firstLineChars="0"/>
      <w:outlineLvl w:val="3"/>
    </w:pPr>
    <w:rPr>
      <w:rFonts w:asciiTheme="majorAscii" w:hAnsiTheme="majorAscii" w:cstheme="majorBidi"/>
      <w:b/>
      <w:bCs/>
      <w:szCs w:val="28"/>
    </w:rPr>
  </w:style>
  <w:style w:type="character" w:default="1" w:styleId="16">
    <w:name w:val="Default Paragraph Font"/>
    <w:unhideWhenUsed/>
    <w:qFormat/>
    <w:uiPriority w:val="1"/>
  </w:style>
  <w:style w:type="table" w:default="1" w:styleId="15">
    <w:name w:val="Normal Table"/>
    <w:semiHidden/>
    <w:qFormat/>
    <w:uiPriority w:val="0"/>
    <w:tblPr>
      <w:tblCellMar>
        <w:top w:w="0" w:type="dxa"/>
        <w:left w:w="108" w:type="dxa"/>
        <w:bottom w:w="0" w:type="dxa"/>
        <w:right w:w="108" w:type="dxa"/>
      </w:tblCellMar>
    </w:tblPr>
  </w:style>
  <w:style w:type="paragraph" w:styleId="6">
    <w:name w:val="Body Text"/>
    <w:basedOn w:val="1"/>
    <w:next w:val="7"/>
    <w:link w:val="20"/>
    <w:qFormat/>
    <w:uiPriority w:val="0"/>
    <w:pPr>
      <w:overflowPunct w:val="0"/>
      <w:adjustRightInd w:val="0"/>
      <w:snapToGrid w:val="0"/>
      <w:spacing w:before="50" w:beforeLines="50" w:line="560" w:lineRule="exact"/>
      <w:ind w:firstLine="880" w:firstLineChars="200"/>
      <w:jc w:val="left"/>
    </w:pPr>
    <w:rPr>
      <w:rFonts w:ascii="华文中宋" w:hAnsi="华文中宋" w:eastAsia="仿宋_GB2312" w:cs="华文中宋"/>
      <w:bCs/>
      <w:sz w:val="32"/>
      <w:szCs w:val="44"/>
    </w:rPr>
  </w:style>
  <w:style w:type="paragraph" w:styleId="7">
    <w:name w:val="toc 5"/>
    <w:basedOn w:val="1"/>
    <w:next w:val="1"/>
    <w:qFormat/>
    <w:uiPriority w:val="0"/>
    <w:pPr>
      <w:tabs>
        <w:tab w:val="left" w:pos="0"/>
      </w:tabs>
      <w:ind w:left="1680" w:leftChars="800"/>
    </w:pPr>
  </w:style>
  <w:style w:type="paragraph" w:styleId="8">
    <w:name w:val="Body Text Indent"/>
    <w:basedOn w:val="1"/>
    <w:qFormat/>
    <w:uiPriority w:val="0"/>
    <w:pPr>
      <w:spacing w:after="120" w:afterLines="0" w:afterAutospacing="0"/>
      <w:ind w:left="420" w:leftChars="200"/>
    </w:pPr>
  </w:style>
  <w:style w:type="paragraph" w:styleId="9">
    <w:name w:val="Block Text"/>
    <w:basedOn w:val="1"/>
    <w:qFormat/>
    <w:uiPriority w:val="0"/>
    <w:pPr>
      <w:tabs>
        <w:tab w:val="left" w:pos="0"/>
      </w:tabs>
      <w:spacing w:line="360" w:lineRule="auto"/>
    </w:pPr>
    <w:rPr>
      <w:rFonts w:ascii="Calibri" w:hAnsi="Calibri" w:eastAsia="仿宋_GB2312" w:cs="Times New Roman"/>
      <w:kern w:val="2"/>
      <w:sz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paragraph" w:styleId="13">
    <w:name w:val="Title"/>
    <w:basedOn w:val="1"/>
    <w:next w:val="1"/>
    <w:qFormat/>
    <w:uiPriority w:val="0"/>
    <w:pPr>
      <w:tabs>
        <w:tab w:val="left" w:pos="0"/>
      </w:tabs>
      <w:spacing w:before="240" w:after="60"/>
      <w:jc w:val="left"/>
      <w:outlineLvl w:val="0"/>
    </w:pPr>
    <w:rPr>
      <w:rFonts w:ascii="Arial" w:hAnsi="Arial" w:cs="Arial"/>
      <w:b/>
      <w:bCs/>
      <w:sz w:val="32"/>
      <w:szCs w:val="32"/>
    </w:rPr>
  </w:style>
  <w:style w:type="paragraph" w:styleId="14">
    <w:name w:val="Body Text First Indent 2"/>
    <w:basedOn w:val="8"/>
    <w:qFormat/>
    <w:uiPriority w:val="0"/>
    <w:pPr>
      <w:spacing w:before="50" w:beforeLines="50" w:line="360" w:lineRule="auto"/>
      <w:ind w:firstLine="420" w:firstLineChars="200"/>
    </w:pPr>
    <w:rPr>
      <w:rFonts w:ascii="Arial" w:hAnsi="Arial" w:eastAsia="仿宋_GB2312" w:cs="Arial"/>
      <w:snapToGrid w:val="0"/>
      <w:color w:val="000000"/>
      <w:sz w:val="32"/>
      <w:szCs w:val="21"/>
      <w:lang w:eastAsia="en-US"/>
    </w:rPr>
  </w:style>
  <w:style w:type="character" w:customStyle="1" w:styleId="17">
    <w:name w:val="标题 3 字符"/>
    <w:basedOn w:val="16"/>
    <w:link w:val="2"/>
    <w:qFormat/>
    <w:uiPriority w:val="0"/>
    <w:rPr>
      <w:rFonts w:ascii="宋体" w:hAnsi="宋体" w:eastAsia="仿宋_GB2312" w:cs="宋体"/>
      <w:b/>
      <w:color w:val="000000"/>
      <w:kern w:val="2"/>
      <w:sz w:val="32"/>
      <w:szCs w:val="22"/>
      <w:lang w:val="en-US" w:eastAsia="zh-CN" w:bidi="ar-SA"/>
    </w:rPr>
  </w:style>
  <w:style w:type="character" w:customStyle="1" w:styleId="18">
    <w:name w:val="标题 2 字符"/>
    <w:link w:val="4"/>
    <w:qFormat/>
    <w:uiPriority w:val="0"/>
    <w:rPr>
      <w:rFonts w:ascii="宋体" w:hAnsi="宋体" w:eastAsia="楷体_GB2312" w:cs="宋体"/>
      <w:b/>
      <w:snapToGrid w:val="0"/>
      <w:color w:val="000000" w:themeColor="text1"/>
      <w:kern w:val="2"/>
      <w:sz w:val="32"/>
      <w:szCs w:val="22"/>
      <w:lang w:val="en-US" w:eastAsia="zh-CN" w:bidi="ar-SA"/>
      <w14:textFill>
        <w14:solidFill>
          <w14:schemeClr w14:val="tx1"/>
        </w14:solidFill>
      </w14:textFill>
    </w:rPr>
  </w:style>
  <w:style w:type="character" w:customStyle="1" w:styleId="19">
    <w:name w:val="标题 1 字符"/>
    <w:link w:val="3"/>
    <w:qFormat/>
    <w:uiPriority w:val="0"/>
    <w:rPr>
      <w:rFonts w:ascii="Times New Roman" w:hAnsi="Times New Roman" w:eastAsia="黑体" w:cs="宋体"/>
      <w:b/>
      <w:color w:val="000000" w:themeColor="text1"/>
      <w:kern w:val="44"/>
      <w:sz w:val="36"/>
      <w:szCs w:val="24"/>
      <w:lang w:val="en-US" w:bidi="ar-SA"/>
      <w14:textFill>
        <w14:solidFill>
          <w14:schemeClr w14:val="tx1"/>
        </w14:solidFill>
      </w14:textFill>
    </w:rPr>
  </w:style>
  <w:style w:type="character" w:customStyle="1" w:styleId="20">
    <w:name w:val="正文文本 Char"/>
    <w:link w:val="6"/>
    <w:qFormat/>
    <w:uiPriority w:val="0"/>
    <w:rPr>
      <w:rFonts w:ascii="华文中宋" w:hAnsi="华文中宋" w:eastAsia="仿宋_GB2312" w:cs="Times New Roman"/>
      <w:bCs/>
      <w:snapToGrid w:val="0"/>
      <w:color w:val="000000"/>
      <w:kern w:val="0"/>
      <w:sz w:val="32"/>
      <w:szCs w:val="44"/>
      <w:lang w:val="en-US" w:eastAsia="en-US" w:bidi="ar-SA"/>
    </w:rPr>
  </w:style>
  <w:style w:type="paragraph" w:customStyle="1" w:styleId="21">
    <w:name w:val="Heading2"/>
    <w:basedOn w:val="1"/>
    <w:next w:val="1"/>
    <w:qFormat/>
    <w:uiPriority w:val="0"/>
    <w:pPr>
      <w:keepNext/>
      <w:keepLines/>
      <w:spacing w:line="416" w:lineRule="auto"/>
      <w:textAlignment w:val="baseline"/>
    </w:pPr>
    <w:rPr>
      <w:rFonts w:ascii="Cambria" w:hAnsi="Cambria" w:eastAsia="楷体_GB2312"/>
      <w:sz w:val="32"/>
      <w:szCs w:val="32"/>
    </w:rPr>
  </w:style>
  <w:style w:type="character" w:customStyle="1" w:styleId="22">
    <w:name w:val="font51"/>
    <w:basedOn w:val="16"/>
    <w:qFormat/>
    <w:uiPriority w:val="0"/>
    <w:rPr>
      <w:rFonts w:hint="eastAsia" w:ascii="仿宋" w:hAnsi="仿宋" w:eastAsia="仿宋" w:cs="仿宋"/>
      <w:color w:val="000000"/>
      <w:sz w:val="21"/>
      <w:szCs w:val="21"/>
      <w:u w:val="none"/>
    </w:rPr>
  </w:style>
  <w:style w:type="paragraph" w:customStyle="1" w:styleId="23">
    <w:name w:val="li_正文"/>
    <w:basedOn w:val="1"/>
    <w:qFormat/>
    <w:uiPriority w:val="0"/>
    <w:pPr>
      <w:tabs>
        <w:tab w:val="left" w:pos="2340"/>
        <w:tab w:val="left" w:pos="4320"/>
      </w:tabs>
      <w:ind w:firstLine="530" w:firstLineChars="200"/>
      <w:jc w:val="left"/>
    </w:pPr>
    <w:rPr>
      <w:rFonts w:ascii="Calibri" w:hAnsi="Calibri"/>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xmlns="http://schemas.wps.cn/vas-ai-hub/contract-review">
    <reviewItem xmlns="http://schemas.wps.cn/vas-ai-hub/contract-review">
      <errorID xmlns="http://schemas.wps.cn/vas-ai-hub/contract-review">56529559-88d0-4fcb-bbbc-9a3f186cec51</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27B264DF</paraID>
      <start xmlns="http://schemas.wps.cn/vas-ai-hub/contract-review">11</start>
      <end xmlns="http://schemas.wps.cn/vas-ai-hub/contract-review">12</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e67728fe-cc4a-4647-97a0-0a7a48a9b872</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73F5C96F</paraID>
      <start xmlns="http://schemas.wps.cn/vas-ai-hub/contract-review">78</start>
      <end xmlns="http://schemas.wps.cn/vas-ai-hub/contract-review">79</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ee2815e1-fdbd-4c23-bc8e-168e71e13d98</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73F5C96F</paraID>
      <start xmlns="http://schemas.wps.cn/vas-ai-hub/contract-review">113</start>
      <end xmlns="http://schemas.wps.cn/vas-ai-hub/contract-review">114</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ad0dd558-5a26-48dd-b622-4b4455fce186</errorID>
      <errorWord xmlns="http://schemas.wps.cn/vas-ai-hub/contract-review">有利</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有力</item>
      </candidateList>
      <explain xmlns="http://schemas.wps.cn/vas-ai-hub/contract-review">〈形〉有力量；分量重：领导～｜～的回击｜这篇文章写得简短～。</explain>
      <paraID xmlns="http://schemas.wps.cn/vas-ai-hub/contract-review">59028674</paraID>
      <start xmlns="http://schemas.wps.cn/vas-ai-hub/contract-review">346</start>
      <end xmlns="http://schemas.wps.cn/vas-ai-hub/contract-review">348</end>
      <status xmlns="http://schemas.wps.cn/vas-ai-hub/contract-review">modified</status>
      <modifiedWord xmlns="http://schemas.wps.cn/vas-ai-hub/contract-review">有力</modifiedWord>
      <trackRevisions xmlns="http://schemas.wps.cn/vas-ai-hub/contract-review">false</trackRevisions>
    </reviewItem>
    <reviewItem xmlns="http://schemas.wps.cn/vas-ai-hub/contract-review">
      <errorID xmlns="http://schemas.wps.cn/vas-ai-hub/contract-review">42293caa-0373-4ad0-be2a-f3638f4f4121</errorID>
      <errorWord xmlns="http://schemas.wps.cn/vas-ai-hub/contract-review">党的二十大及二十届历次全会精神</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党的二十大和二十届历次全会精神</item>
      </candidateList>
      <explain xmlns="http://schemas.wps.cn/vas-ai-hub/contract-review"/>
      <paraID xmlns="http://schemas.wps.cn/vas-ai-hub/contract-review">268A1123</paraID>
      <start xmlns="http://schemas.wps.cn/vas-ai-hub/contract-review">64</start>
      <end xmlns="http://schemas.wps.cn/vas-ai-hub/contract-review">79</end>
      <status xmlns="http://schemas.wps.cn/vas-ai-hub/contract-review">modified</status>
      <modifiedWord xmlns="http://schemas.wps.cn/vas-ai-hub/contract-review">党的二十大和二十届历次全会精神</modifiedWord>
      <trackRevisions xmlns="http://schemas.wps.cn/vas-ai-hub/contract-review">false</trackRevisions>
    </reviewItem>
    <reviewItem xmlns="http://schemas.wps.cn/vas-ai-hub/contract-review">
      <errorID xmlns="http://schemas.wps.cn/vas-ai-hub/contract-review">faa6e7a4-09ca-47dd-83ee-56a34f2ff003</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36EEB1A4</paraID>
      <start xmlns="http://schemas.wps.cn/vas-ai-hub/contract-review">57</start>
      <end xmlns="http://schemas.wps.cn/vas-ai-hub/contract-review">58</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0bfc0378-f984-4884-bc72-52e2e91b158d</errorID>
      <errorWord xmlns="http://schemas.wps.cn/vas-ai-hub/contract-review">研判研判</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研判</item>
      </candidateList>
      <explain xmlns="http://schemas.wps.cn/vas-ai-hub/contract-review"/>
      <paraID xmlns="http://schemas.wps.cn/vas-ai-hub/contract-review">63A435A1</paraID>
      <start xmlns="http://schemas.wps.cn/vas-ai-hub/contract-review">130</start>
      <end xmlns="http://schemas.wps.cn/vas-ai-hub/contract-review">132</end>
      <status xmlns="http://schemas.wps.cn/vas-ai-hub/contract-review">modified</status>
      <modifiedWord xmlns="http://schemas.wps.cn/vas-ai-hub/contract-review">研判</modifiedWord>
      <trackRevisions xmlns="http://schemas.wps.cn/vas-ai-hub/contract-review">false</trackRevisions>
    </reviewItem>
    <reviewItem xmlns="http://schemas.wps.cn/vas-ai-hub/contract-review">
      <errorID xmlns="http://schemas.wps.cn/vas-ai-hub/contract-review">9d6ef791-74fd-424b-8469-2fc12b3d2a25</errorID>
      <errorWord xmlns="http://schemas.wps.cn/vas-ai-hub/contract-review">社会主义核心价值观践行</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践行社会主义核心价值观</item>
      </candidateList>
      <explain xmlns="http://schemas.wps.cn/vas-ai-hub/contract-review">词汇“践行社会主义核心价值观”在特定场景下为固定表述形式，请确认此处的“社会主义核心价值观践行”是否存在不当。</explain>
      <paraID xmlns="http://schemas.wps.cn/vas-ai-hub/contract-review">68BBD0B2</paraID>
      <start xmlns="http://schemas.wps.cn/vas-ai-hub/contract-review">95</start>
      <end xmlns="http://schemas.wps.cn/vas-ai-hub/contract-review">106</end>
      <status xmlns="http://schemas.wps.cn/vas-ai-hub/contract-review">modified</status>
      <modifiedWord xmlns="http://schemas.wps.cn/vas-ai-hub/contract-review">践行社会主义核心价值观</modifiedWord>
      <trackRevisions xmlns="http://schemas.wps.cn/vas-ai-hub/contract-review">false</trackRevisions>
    </reviewItem>
    <reviewItem xmlns="http://schemas.wps.cn/vas-ai-hub/contract-review">
      <errorID xmlns="http://schemas.wps.cn/vas-ai-hub/contract-review">f4f707e6-0f89-431a-8413-5e5db5ffa9b7</errorID>
      <errorWord xmlns="http://schemas.wps.cn/vas-ai-hub/contract-review">近岸海域水质优良比例</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近岸海域优良水质比例</item>
      </candidateList>
      <explain xmlns="http://schemas.wps.cn/vas-ai-hub/contract-review">词汇“近岸海域优良水质比例”在特定场景下为固定表述形式，请确认此处的“近岸海域水质优良比例”是否存在不当。</explain>
      <paraID xmlns="http://schemas.wps.cn/vas-ai-hub/contract-review">552D0D70</paraID>
      <start xmlns="http://schemas.wps.cn/vas-ai-hub/contract-review">56</start>
      <end xmlns="http://schemas.wps.cn/vas-ai-hub/contract-review">66</end>
      <status xmlns="http://schemas.wps.cn/vas-ai-hub/contract-review">modified</status>
      <modifiedWord xmlns="http://schemas.wps.cn/vas-ai-hub/contract-review">近岸海域优良水质比例</modifiedWord>
      <trackRevisions xmlns="http://schemas.wps.cn/vas-ai-hub/contract-review">false</trackRevisions>
    </reviewItem>
    <reviewItem xmlns="http://schemas.wps.cn/vas-ai-hub/contract-review">
      <errorID xmlns="http://schemas.wps.cn/vas-ai-hub/contract-review">4da513a8-8448-464e-980b-6d58acb8804e</errorID>
      <errorWord xmlns="http://schemas.wps.cn/vas-ai-hub/contract-review">&gt;</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
      <paraID xmlns="http://schemas.wps.cn/vas-ai-hub/contract-review">336376F4</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937697cf-b77e-427b-be1b-e565cce4f383</errorID>
      <errorWord xmlns="http://schemas.wps.cn/vas-ai-hub/contract-review">&gt;</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
      <paraID xmlns="http://schemas.wps.cn/vas-ai-hub/contract-review">70203BB8</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9d4198d8-0149-4d59-b4a9-fd5e4afd3769</errorID>
      <errorWord xmlns="http://schemas.wps.cn/vas-ai-hub/contract-review">持</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持在</item>
      </candidateList>
      <explain xmlns="http://schemas.wps.cn/vas-ai-hub/contract-review"/>
      <paraID xmlns="http://schemas.wps.cn/vas-ai-hub/contract-review">735710E9</paraID>
      <start xmlns="http://schemas.wps.cn/vas-ai-hub/contract-review">263</start>
      <end xmlns="http://schemas.wps.cn/vas-ai-hub/contract-review">265</end>
      <status xmlns="http://schemas.wps.cn/vas-ai-hub/contract-review">modified</status>
      <modifiedWord xmlns="http://schemas.wps.cn/vas-ai-hub/contract-review">持在</modifiedWord>
      <trackRevisions xmlns="http://schemas.wps.cn/vas-ai-hub/contract-review">false</trackRevisions>
    </reviewItem>
    <reviewItem xmlns="http://schemas.wps.cn/vas-ai-hub/contract-review">
      <errorID xmlns="http://schemas.wps.cn/vas-ai-hub/contract-review">48a4e056-1cc3-4d73-b63d-5a0e15867b69</errorID>
      <errorWord xmlns="http://schemas.wps.cn/vas-ai-hub/contract-review">专精特新配套企业</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专精特新中小企业</item>
      </candidateList>
      <explain xmlns="http://schemas.wps.cn/vas-ai-hub/contract-review">词汇“专精特新中小企业”在特定场景下为固定表述形式，请确认此处的“专精特新配套企业”是否存在不当。</explain>
      <paraID xmlns="http://schemas.wps.cn/vas-ai-hub/contract-review">44291684</paraID>
      <start xmlns="http://schemas.wps.cn/vas-ai-hub/contract-review">185</start>
      <end xmlns="http://schemas.wps.cn/vas-ai-hub/contract-review">193</end>
      <status xmlns="http://schemas.wps.cn/vas-ai-hub/contract-review">modified</status>
      <modifiedWord xmlns="http://schemas.wps.cn/vas-ai-hub/contract-review">专精特新中小企业</modifiedWord>
      <trackRevisions xmlns="http://schemas.wps.cn/vas-ai-hub/contract-review">false</trackRevisions>
    </reviewItem>
    <reviewItem xmlns="http://schemas.wps.cn/vas-ai-hub/contract-review">
      <errorID xmlns="http://schemas.wps.cn/vas-ai-hub/contract-review">a1fade83-b3da-476a-8d33-c0a188cde90c</errorID>
      <errorWord xmlns="http://schemas.wps.cn/vas-ai-hub/contract-review">推动电</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推动</item>
      </candidateList>
      <explain xmlns="http://schemas.wps.cn/vas-ai-hub/contract-review"/>
      <paraID xmlns="http://schemas.wps.cn/vas-ai-hub/contract-review">136746BA</paraID>
      <start xmlns="http://schemas.wps.cn/vas-ai-hub/contract-review">51</start>
      <end xmlns="http://schemas.wps.cn/vas-ai-hub/contract-review">53</end>
      <status xmlns="http://schemas.wps.cn/vas-ai-hub/contract-review">modified</status>
      <modifiedWord xmlns="http://schemas.wps.cn/vas-ai-hub/contract-review">推动</modifiedWord>
      <trackRevisions xmlns="http://schemas.wps.cn/vas-ai-hub/contract-review">false</trackRevisions>
    </reviewItem>
    <reviewItem xmlns="http://schemas.wps.cn/vas-ai-hub/contract-review">
      <errorID xmlns="http://schemas.wps.cn/vas-ai-hub/contract-review">5f9360a3-74a9-4688-a810-f2e7ca102ee5</errorID>
      <errorWord xmlns="http://schemas.wps.cn/vas-ai-hub/contract-review">硬核</errorWord>
      <group xmlns="http://schemas.wps.cn/vas-ai-hub/contract-review">L1_Official</group>
      <groupName xmlns="http://schemas.wps.cn/vas-ai-hub/contract-review">公文问题</groupName>
      <ability xmlns="http://schemas.wps.cn/vas-ai-hub/contract-review">L2_Official</ability>
      <abilityName xmlns="http://schemas.wps.cn/vas-ai-hub/contract-review">公文问题</abilityName>
      <candidateList xmlns="http://schemas.wps.cn/vas-ai-hub/contract-review"/>
      <explain xmlns="http://schemas.wps.cn/vas-ai-hub/contract-review">公文中禁止出现该词语</explain>
      <paraID xmlns="http://schemas.wps.cn/vas-ai-hub/contract-review">3B795D22</paraID>
      <start xmlns="http://schemas.wps.cn/vas-ai-hub/contract-review">98</start>
      <end xmlns="http://schemas.wps.cn/vas-ai-hub/contract-review">100</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e3596a9b-29e2-4d61-baf2-ad8d5c1f6d3a</errorID>
      <errorWord xmlns="http://schemas.wps.cn/vas-ai-hub/contract-review">四港联动</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“四港联动”</item>
      </candidateList>
      <explain xmlns="http://schemas.wps.cn/vas-ai-hub/contract-review">注意检查当前固定表述标点是否使用规范。</explain>
      <paraID xmlns="http://schemas.wps.cn/vas-ai-hub/contract-review"> 5F228E5</paraID>
      <start xmlns="http://schemas.wps.cn/vas-ai-hub/contract-review">107</start>
      <end xmlns="http://schemas.wps.cn/vas-ai-hub/contract-review">113</end>
      <status xmlns="http://schemas.wps.cn/vas-ai-hub/contract-review">modified</status>
      <modifiedWord xmlns="http://schemas.wps.cn/vas-ai-hub/contract-review">“四港联动”</modifiedWord>
      <trackRevisions xmlns="http://schemas.wps.cn/vas-ai-hub/contract-review">false</trackRevisions>
    </reviewItem>
    <reviewItem xmlns="http://schemas.wps.cn/vas-ai-hub/contract-review">
      <errorID xmlns="http://schemas.wps.cn/vas-ai-hub/contract-review">77fa8f24-7d50-48b3-8b5d-a00ef533e45a</errorID>
      <errorWord xmlns="http://schemas.wps.cn/vas-ai-hub/contract-review">模、芯、云、用</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“模芯云用”</item>
      </candidateList>
      <explain xmlns="http://schemas.wps.cn/vas-ai-hub/contract-review">注意检查当前固定表述标点是否使用规范。</explain>
      <paraID xmlns="http://schemas.wps.cn/vas-ai-hub/contract-review">784110BB</paraID>
      <start xmlns="http://schemas.wps.cn/vas-ai-hub/contract-review">69</start>
      <end xmlns="http://schemas.wps.cn/vas-ai-hub/contract-review">76</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a9dd4854-1cf8-479c-a255-42e65c657c14</errorID>
      <errorWord xmlns="http://schemas.wps.cn/vas-ai-hub/contract-review">智改数转网联</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“智改数转网联”</item>
      </candidateList>
      <explain xmlns="http://schemas.wps.cn/vas-ai-hub/contract-review">注意检查当前固定表述标点是否使用规范。</explain>
      <paraID xmlns="http://schemas.wps.cn/vas-ai-hub/contract-review">784110BB</paraID>
      <start xmlns="http://schemas.wps.cn/vas-ai-hub/contract-review">190</start>
      <end xmlns="http://schemas.wps.cn/vas-ai-hub/contract-review">198</end>
      <status xmlns="http://schemas.wps.cn/vas-ai-hub/contract-review">modified</status>
      <modifiedWord xmlns="http://schemas.wps.cn/vas-ai-hub/contract-review">“智改数转网联”</modifiedWord>
      <trackRevisions xmlns="http://schemas.wps.cn/vas-ai-hub/contract-review">false</trackRevisions>
    </reviewItem>
    <reviewItem xmlns="http://schemas.wps.cn/vas-ai-hub/contract-review">
      <errorID xmlns="http://schemas.wps.cn/vas-ai-hub/contract-review">57ea719c-3f6e-4010-b433-4da774578efc</errorID>
      <errorWord xmlns="http://schemas.wps.cn/vas-ai-hub/contract-review">企业走出去</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企业“走出去”</item>
      </candidateList>
      <explain xmlns="http://schemas.wps.cn/vas-ai-hub/contract-review">注意检查当前固定表述标点是否使用规范。</explain>
      <paraID xmlns="http://schemas.wps.cn/vas-ai-hub/contract-review">53B51D99</paraID>
      <start xmlns="http://schemas.wps.cn/vas-ai-hub/contract-review">161</start>
      <end xmlns="http://schemas.wps.cn/vas-ai-hub/contract-review">168</end>
      <status xmlns="http://schemas.wps.cn/vas-ai-hub/contract-review">modified</status>
      <modifiedWord xmlns="http://schemas.wps.cn/vas-ai-hub/contract-review">企业“走出去”</modifiedWord>
      <trackRevisions xmlns="http://schemas.wps.cn/vas-ai-hub/contract-review">false</trackRevisions>
    </reviewItem>
    <reviewItem xmlns="http://schemas.wps.cn/vas-ai-hub/contract-review">
      <errorID xmlns="http://schemas.wps.cn/vas-ai-hub/contract-review">3abccb1a-277b-4578-945e-73ef4cf904f6</errorID>
      <errorWord xmlns="http://schemas.wps.cn/vas-ai-hub/contract-review">融入和服务全国统一大市场</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融入服务全国统一大市场</item>
      </candidateList>
      <explain xmlns="http://schemas.wps.cn/vas-ai-hub/contract-review">词汇“融入服务全国统一大市场”在特定场景下为固定表述形式，请确认此处的“融入和服务全国统一大市场”是否存在不当。</explain>
      <paraID xmlns="http://schemas.wps.cn/vas-ai-hub/contract-review">2071C23D</paraID>
      <start xmlns="http://schemas.wps.cn/vas-ai-hub/contract-review">85</start>
      <end xmlns="http://schemas.wps.cn/vas-ai-hub/contract-review">96</end>
      <status xmlns="http://schemas.wps.cn/vas-ai-hub/contract-review">modified</status>
      <modifiedWord xmlns="http://schemas.wps.cn/vas-ai-hub/contract-review">融入服务全国统一大市场</modifiedWord>
      <trackRevisions xmlns="http://schemas.wps.cn/vas-ai-hub/contract-review">false</trackRevisions>
    </reviewItem>
    <reviewItem xmlns="http://schemas.wps.cn/vas-ai-hub/contract-review">
      <errorID xmlns="http://schemas.wps.cn/vas-ai-hub/contract-review">5dd0fd6b-7f10-4b30-a33a-550998ab5ac2</errorID>
      <errorWord xmlns="http://schemas.wps.cn/vas-ai-hub/contract-review">车路云一体化</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“车路云一体化”</item>
      </candidateList>
      <explain xmlns="http://schemas.wps.cn/vas-ai-hub/contract-review">注意检查当前固定表述标点是否使用规范。</explain>
      <paraID xmlns="http://schemas.wps.cn/vas-ai-hub/contract-review"> E737DCA</paraID>
      <start xmlns="http://schemas.wps.cn/vas-ai-hub/contract-review">105</start>
      <end xmlns="http://schemas.wps.cn/vas-ai-hub/contract-review">113</end>
      <status xmlns="http://schemas.wps.cn/vas-ai-hub/contract-review">modified</status>
      <modifiedWord xmlns="http://schemas.wps.cn/vas-ai-hub/contract-review">“车路云一体化”</modifiedWord>
      <trackRevisions xmlns="http://schemas.wps.cn/vas-ai-hub/contract-review">false</trackRevisions>
    </reviewItem>
    <reviewItem xmlns="http://schemas.wps.cn/vas-ai-hub/contract-review">
      <errorID xmlns="http://schemas.wps.cn/vas-ai-hub/contract-review">1038cb87-db1c-437c-9e6c-5c4d22ab3d2c</errorID>
      <errorWord xmlns="http://schemas.wps.cn/vas-ai-hub/contract-review">规范政府经济促进行为</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规范地方政府经济促进行为</item>
      </candidateList>
      <explain xmlns="http://schemas.wps.cn/vas-ai-hub/contract-review">词汇“规范地方政府经济促进行为”在特定场景下为固定表述形式，请确认此处的“规范政府经济促进行为”是否存在不当。</explain>
      <paraID xmlns="http://schemas.wps.cn/vas-ai-hub/contract-review"> BA293C2</paraID>
      <start xmlns="http://schemas.wps.cn/vas-ai-hub/contract-review">57</start>
      <end xmlns="http://schemas.wps.cn/vas-ai-hub/contract-review">67</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b746c0d3-2325-4ad4-bdac-d62b9598111c</errorID>
      <errorWord xmlns="http://schemas.wps.cn/vas-ai-hub/contract-review">内卷</errorWord>
      <group xmlns="http://schemas.wps.cn/vas-ai-hub/contract-review">L1_Official</group>
      <groupName xmlns="http://schemas.wps.cn/vas-ai-hub/contract-review">公文问题</groupName>
      <ability xmlns="http://schemas.wps.cn/vas-ai-hub/contract-review">L2_Official</ability>
      <abilityName xmlns="http://schemas.wps.cn/vas-ai-hub/contract-review">公文问题</abilityName>
      <candidateList xmlns="http://schemas.wps.cn/vas-ai-hub/contract-review"/>
      <explain xmlns="http://schemas.wps.cn/vas-ai-hub/contract-review">公文中禁止出现该词语</explain>
      <paraID xmlns="http://schemas.wps.cn/vas-ai-hub/contract-review"> BA293C2</paraID>
      <start xmlns="http://schemas.wps.cn/vas-ai-hub/contract-review">95</start>
      <end xmlns="http://schemas.wps.cn/vas-ai-hub/contract-review">97</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f25fc3bc-8a03-48ef-b7c3-9bfb9eb08135</errorID>
      <errorWord xmlns="http://schemas.wps.cn/vas-ai-hub/contract-review">智慧防汛</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指挥防汛</item>
      </candidateList>
      <explain xmlns="http://schemas.wps.cn/vas-ai-hub/contract-review"/>
      <paraID xmlns="http://schemas.wps.cn/vas-ai-hub/contract-review"> E7035DB</paraID>
      <start xmlns="http://schemas.wps.cn/vas-ai-hub/contract-review">26</start>
      <end xmlns="http://schemas.wps.cn/vas-ai-hub/contract-review">30</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4811f983-88d4-40a0-b17a-2845efbd8c84</errorID>
      <errorWord xmlns="http://schemas.wps.cn/vas-ai-hub/contract-review">给力</errorWord>
      <group xmlns="http://schemas.wps.cn/vas-ai-hub/contract-review">L1_Official</group>
      <groupName xmlns="http://schemas.wps.cn/vas-ai-hub/contract-review">公文问题</groupName>
      <ability xmlns="http://schemas.wps.cn/vas-ai-hub/contract-review">L2_Official</ability>
      <abilityName xmlns="http://schemas.wps.cn/vas-ai-hub/contract-review">公文问题</abilityName>
      <candidateList xmlns="http://schemas.wps.cn/vas-ai-hub/contract-review"/>
      <explain xmlns="http://schemas.wps.cn/vas-ai-hub/contract-review">公文中禁止出现该词语</explain>
      <paraID xmlns="http://schemas.wps.cn/vas-ai-hub/contract-review">41CC039B</paraID>
      <start xmlns="http://schemas.wps.cn/vas-ai-hub/contract-review">92</start>
      <end xmlns="http://schemas.wps.cn/vas-ai-hub/contract-review">94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b8de29af-e49d-4db4-9935-4a9d01b46812</errorID>
      <errorWord xmlns="http://schemas.wps.cn/vas-ai-hub/contract-review">城镇生命线</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城市生命线</item>
      </candidateList>
      <explain xmlns="http://schemas.wps.cn/vas-ai-hub/contract-review">词汇“城市生命线”在特定场景下为固定表述形式，请确认此处的“城镇生命线”是否存在不当。</explain>
      <paraID xmlns="http://schemas.wps.cn/vas-ai-hub/contract-review">7F87A0D1</paraID>
      <start xmlns="http://schemas.wps.cn/vas-ai-hub/contract-review">86</start>
      <end xmlns="http://schemas.wps.cn/vas-ai-hub/contract-review">91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2f061838-d1c0-47f7-af57-6dee6f050319</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 CF4E822</paraID>
      <start xmlns="http://schemas.wps.cn/vas-ai-hub/contract-review">40</start>
      <end xmlns="http://schemas.wps.cn/vas-ai-hub/contract-review">41</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96f8d21d-9064-44b5-9bab-490920aaef5f</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 CF4E822</paraID>
      <start xmlns="http://schemas.wps.cn/vas-ai-hub/contract-review">45</start>
      <end xmlns="http://schemas.wps.cn/vas-ai-hub/contract-review">46</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073c4ea8-fcca-498c-8867-67e3e9da8865</errorID>
      <errorWord xmlns="http://schemas.wps.cn/vas-ai-hub/contract-review">公平参与市场竞争、平等使用生产要素、有效保护合法权益</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平等使用生产要素、公平参与市场竞争、有效保护合法权益</item>
      </candidateList>
      <explain xmlns="http://schemas.wps.cn/vas-ai-hub/contract-review">词汇“平等使用生产要素、公平参与市场竞争、有效保护合法权益”在特定场景下为固定表述形式，请确认此处的“公平参与市场竞争、平等使用生产要素、有效保护合法权益”是否存在不当。</explain>
      <paraID xmlns="http://schemas.wps.cn/vas-ai-hub/contract-review">47D7FA50</paraID>
      <start xmlns="http://schemas.wps.cn/vas-ai-hub/contract-review">119</start>
      <end xmlns="http://schemas.wps.cn/vas-ai-hub/contract-review">145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39716b90-0d96-44e6-9166-0cc08ff2f9f6</errorID>
      <errorWord xmlns="http://schemas.wps.cn/vas-ai-hub/contract-review">市场化法治化国际化</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市场化、法治化、国际化</item>
      </candidateList>
      <explain xmlns="http://schemas.wps.cn/vas-ai-hub/contract-review">注意检查当前固定表述标点是否使用规范。</explain>
      <paraID xmlns="http://schemas.wps.cn/vas-ai-hub/contract-review"> 23C5BB3</paraID>
      <start xmlns="http://schemas.wps.cn/vas-ai-hub/contract-review">6</start>
      <end xmlns="http://schemas.wps.cn/vas-ai-hub/contract-review">15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564f0953-d1ff-422d-a723-6caeee32cfb6</errorID>
      <errorWord xmlns="http://schemas.wps.cn/vas-ai-hub/contract-review">贸易创新促进</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贸易促进创新</item>
      </candidateList>
      <explain xmlns="http://schemas.wps.cn/vas-ai-hub/contract-review"/>
      <paraID xmlns="http://schemas.wps.cn/vas-ai-hub/contract-review">58EC4031</paraID>
      <start xmlns="http://schemas.wps.cn/vas-ai-hub/contract-review">6</start>
      <end xmlns="http://schemas.wps.cn/vas-ai-hub/contract-review">12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7245ef8f-b430-4700-8877-c1b8f31e41f5</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item xmlns="http://schemas.wps.cn/vas-ai-hub/contract-review">。</item>
      </candidateList>
      <explain xmlns="http://schemas.wps.cn/vas-ai-hub/contract-review"/>
      <paraID xmlns="http://schemas.wps.cn/vas-ai-hub/contract-review">78CFB583</paraID>
      <start xmlns="http://schemas.wps.cn/vas-ai-hub/contract-review">388</start>
      <end xmlns="http://schemas.wps.cn/vas-ai-hub/contract-review">389</end>
      <status xmlns="http://schemas.wps.cn/vas-ai-hub/contract-review">modified</status>
      <modifiedWord xmlns="http://schemas.wps.cn/vas-ai-hub/contract-review">。</modifiedWord>
      <trackRevisions xmlns="http://schemas.wps.cn/vas-ai-hub/contract-review">false</trackRevisions>
    </reviewItem>
    <reviewItem xmlns="http://schemas.wps.cn/vas-ai-hub/contract-review">
      <errorID xmlns="http://schemas.wps.cn/vas-ai-hub/contract-review">4f35f532-dc31-4102-82a3-792075defea3</errorID>
      <errorWord xmlns="http://schemas.wps.cn/vas-ai-hub/contract-review">现代化环境治理体系</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现代环境治理体系</item>
      </candidateList>
      <explain xmlns="http://schemas.wps.cn/vas-ai-hub/contract-review">词汇“现代环境治理体系”在特定场景下为固定表述形式，请确认此处的“现代化环境治理体系”是否存在不当。</explain>
      <paraID xmlns="http://schemas.wps.cn/vas-ai-hub/contract-review">7327ED2E</paraID>
      <start xmlns="http://schemas.wps.cn/vas-ai-hub/contract-review">346</start>
      <end xmlns="http://schemas.wps.cn/vas-ai-hub/contract-review">354</end>
      <status xmlns="http://schemas.wps.cn/vas-ai-hub/contract-review">modified</status>
      <modifiedWord xmlns="http://schemas.wps.cn/vas-ai-hub/contract-review">现代环境治理体系</modifiedWord>
      <trackRevisions xmlns="http://schemas.wps.cn/vas-ai-hub/contract-review">false</trackRevisions>
    </reviewItem>
    <reviewItem xmlns="http://schemas.wps.cn/vas-ai-hub/contract-review">
      <errorID xmlns="http://schemas.wps.cn/vas-ai-hub/contract-review">aefefeb8-2fe5-43df-9dc1-3a807c8d029d</errorID>
      <errorWord xmlns="http://schemas.wps.cn/vas-ai-hub/contract-review">新兴文化业态</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新型文化业态</item>
      </candidateList>
      <explain xmlns="http://schemas.wps.cn/vas-ai-hub/contract-review">词汇“新型文化业态”在特定场景下为固定表述形式，请确认此处的“新兴文化业态”是否存在不当。</explain>
      <paraID xmlns="http://schemas.wps.cn/vas-ai-hub/contract-review">149050B8</paraID>
      <start xmlns="http://schemas.wps.cn/vas-ai-hub/contract-review">102</start>
      <end xmlns="http://schemas.wps.cn/vas-ai-hub/contract-review">108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cd123f94-4e54-4fb5-ab46-2ec0dd37be2e</errorID>
      <errorWord xmlns="http://schemas.wps.cn/vas-ai-hub/contract-review">传承创新发展中医药</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中医药传承创新发展</item>
      </candidateList>
      <explain xmlns="http://schemas.wps.cn/vas-ai-hub/contract-review">词汇“中医药传承创新发展”在特定场景下为固定表述形式，请确认此处的“传承创新发展中医药”是否存在不当。</explain>
      <paraID xmlns="http://schemas.wps.cn/vas-ai-hub/contract-review"> FFE9033</paraID>
      <start xmlns="http://schemas.wps.cn/vas-ai-hub/contract-review">67</start>
      <end xmlns="http://schemas.wps.cn/vas-ai-hub/contract-review">76</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15e64b76-e503-4951-ab1b-dbf839719476</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此处标点可能未正确匹配，请检查句子中是否存在标点冗余、缺失或使用错误的情况。</explain>
      <paraID xmlns="http://schemas.wps.cn/vas-ai-hub/contract-review">2A017D30</paraID>
      <start xmlns="http://schemas.wps.cn/vas-ai-hub/contract-review">67</start>
      <end xmlns="http://schemas.wps.cn/vas-ai-hub/contract-review">68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7e5cc50d-5b73-422a-8e59-c03e06c3a43a</errorID>
      <errorWord xmlns="http://schemas.wps.cn/vas-ai-hub/contract-review">识</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识和</item>
      </candidateList>
      <explain xmlns="http://schemas.wps.cn/vas-ai-hub/contract-review"/>
      <paraID xmlns="http://schemas.wps.cn/vas-ai-hub/contract-review">5827E60E</paraID>
      <start xmlns="http://schemas.wps.cn/vas-ai-hub/contract-review">162</start>
      <end xmlns="http://schemas.wps.cn/vas-ai-hub/contract-review">164</end>
      <status xmlns="http://schemas.wps.cn/vas-ai-hub/contract-review">modified</status>
      <modifiedWord xmlns="http://schemas.wps.cn/vas-ai-hub/contract-review">识和</modifiedWord>
      <trackRevisions xmlns="http://schemas.wps.cn/vas-ai-hub/contract-review">false</trackRevisions>
    </reviewItem>
    <reviewItem xmlns="http://schemas.wps.cn/vas-ai-hub/contract-review">
      <errorID xmlns="http://schemas.wps.cn/vas-ai-hub/contract-review">2250eb98-b578-4b15-9a37-12cdde4a0dba</errorID>
      <errorWord xmlns="http://schemas.wps.cn/vas-ai-hub/contract-review">坚持加强党的全面领导</errorWord>
      <group xmlns="http://schemas.wps.cn/vas-ai-hub/contract-review">L1_Political</group>
      <groupName xmlns="http://schemas.wps.cn/vas-ai-hub/contract-review">政治性问题</groupName>
      <ability xmlns="http://schemas.wps.cn/vas-ai-hub/contract-review">L2_Keyword</ability>
      <abilityName xmlns="http://schemas.wps.cn/vas-ai-hub/contract-review">固定表述</abilityName>
      <candidateList xmlns="http://schemas.wps.cn/vas-ai-hub/contract-review">
        <item xmlns="http://schemas.wps.cn/vas-ai-hub/contract-review">坚持和加强党的全面领导</item>
      </candidateList>
      <explain xmlns="http://schemas.wps.cn/vas-ai-hub/contract-review">词汇“坚持和加强党的全面领导”在特定场景下为固定表述形式，请确认此处的“坚持加强党的全面领导”是否存在不当。</explain>
      <paraID xmlns="http://schemas.wps.cn/vas-ai-hub/contract-review"> 6ED89B2</paraID>
      <start xmlns="http://schemas.wps.cn/vas-ai-hub/contract-review">4</start>
      <end xmlns="http://schemas.wps.cn/vas-ai-hub/contract-review">15</end>
      <status xmlns="http://schemas.wps.cn/vas-ai-hub/contract-review">modified</status>
      <modifiedWord xmlns="http://schemas.wps.cn/vas-ai-hub/contract-review">坚持和加强党的全面领导</modifiedWord>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7fbbab-0bab-43e5-af63-d7f400eade20}">
  <ds:schemaRefs/>
</ds:datastoreItem>
</file>

<file path=docProps/app.xml><?xml version="1.0" encoding="utf-8"?>
<Properties xmlns="http://schemas.openxmlformats.org/officeDocument/2006/extended-properties" xmlns:vt="http://schemas.openxmlformats.org/officeDocument/2006/docPropsVTypes">
  <Template>Normal.dotm</Template>
  <Pages>88</Pages>
  <Words>12303</Words>
  <Characters>12895</Characters>
  <Lines>0</Lines>
  <Paragraphs>0</Paragraphs>
  <TotalTime>23</TotalTime>
  <ScaleCrop>false</ScaleCrop>
  <LinksUpToDate>false</LinksUpToDate>
  <CharactersWithSpaces>13123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2026-05-05T02:26:00Z</dcterms:created>
  <dc:creator>李淑敏</dc:creator>
  <cp:lastModifiedBy>Jupiter</cp:lastModifiedBy>
  <dcterms:modified xsi:type="dcterms:W3CDTF">2026-05-18T02:40:20Z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501FD58F6D7F4C058D0F30F13101FECF_11</vt:lpwstr>
  </property>
  <property fmtid="{D5CDD505-2E9C-101B-9397-08002B2CF9AE}" pid="4" name="KSOTemplateDocerSaveRecord">
    <vt:lpwstr>eyJoZGlkIjoiMDJkYzY1Nzc0ZjNlMjk0ZGRmMmNlMGNmZmI4YjAwZmEiLCJ1c2VySWQiOiI3MjQzMDkwNjQifQ==</vt:lpwstr>
  </property>
</Properties>
</file>