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8DC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威海经济技术开发区推进服务业</w:t>
      </w:r>
    </w:p>
    <w:p w14:paraId="5FFEAE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扩能提质三年行动方案</w:t>
      </w:r>
    </w:p>
    <w:p w14:paraId="27BB34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center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bookmarkStart w:id="1" w:name="_GoBack"/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征求意见稿</w:t>
      </w:r>
    </w:p>
    <w:bookmarkEnd w:id="1"/>
    <w:p w14:paraId="5E9895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09D287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为深入贯彻落实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省市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关于服务业扩能提质的部署要求，进一步推动服务业高质量发展，更好发挥服务业对经济增长的支撑作用，结合我区实际，制定本行动方案。</w:t>
      </w:r>
    </w:p>
    <w:p w14:paraId="187FFD64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  <w:t>一、总体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要求</w:t>
      </w:r>
    </w:p>
    <w:p w14:paraId="4AB506A5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以习近平新时代中国特色社会主义思想为指导，深入贯彻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省市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服务业大会精神，突出需求牵引、改革攻坚、科技赋能、开放合作，坚持塑强优势与补短提升相结合，统筹推动生产性服务业、生活性服务业提质扩容、能级跃升。</w:t>
      </w:r>
      <w:bookmarkStart w:id="0" w:name="OLE_LINK1"/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围绕区域三大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重点工业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集群发展布局，做强做优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现代物流、信息软件、工业设计、商务服务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等生产性服务业，深化现代服务业与先进制造业深度融合、双向赋能，全力助推实体经济降本减负、迭代升级。紧扣人民群众对美好生活的向往，深耕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文化旅游、健康医养、品质商贸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等生活性服务业赛道，</w:t>
      </w:r>
      <w:bookmarkEnd w:id="0"/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推动传统服务业态向</w:t>
      </w:r>
      <w:r>
        <w:rPr>
          <w:rStyle w:val="16"/>
          <w:rFonts w:hint="default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highlight w:val="none"/>
          <w:lang w:val="en-US" w:eastAsia="zh-CN" w:bidi="ar"/>
        </w:rPr>
        <w:t>便利化、品质化、智慧化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转型，持续丰富优质服务供给，全面提高城市综合服务承载力，不断增进民生福祉。</w:t>
      </w:r>
    </w:p>
    <w:p w14:paraId="6A457E3C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二、总体目标</w:t>
      </w:r>
    </w:p>
    <w:p w14:paraId="064CB055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楷体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一是总量持续扩大。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服务业发展综合实力显著增强，对区域经济的支撑作用更加凸显，服务业增加值增速年均保持在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.5%左右，到2028年，服务业增加值突破3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40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亿元，到2030年，服务业增加值突破380亿元，占GDP比重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保持在60%以上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，服务业经济总量、增量在全市占比稳步提升，产业辐射力、民生获得感、发展竞争力持续增强。</w:t>
      </w:r>
    </w:p>
    <w:p w14:paraId="2506BCAB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二是结构更加优化。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生产性服务业加速发展破局起势，生活性服务业潜力充分释放，到2028年，现代服务业占比达到58%，生产性服务业占服务业增加值比重达到48.5%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到2030年，现代服务业占比达到60%，生产性服务业占服务业增加值比重达到50%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（2025年底现代服务业占比53.5%，生产性服务业占比46.7%）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。全区服务业发展实现质效、规模、活力同步跨越，全面构建起结构优化、业态丰富、动能强劲的现代服务业发展新格局。</w:t>
      </w:r>
    </w:p>
    <w:p w14:paraId="603F424C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三是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活力充分释放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统筹推进服务业</w:t>
      </w:r>
      <w:r>
        <w:rPr>
          <w:rStyle w:val="16"/>
          <w:rFonts w:hint="default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highlight w:val="none"/>
          <w:lang w:val="en-US" w:eastAsia="zh-CN" w:bidi="ar"/>
        </w:rPr>
        <w:t>技术革新、业态创新、模式创变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highlight w:val="none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以创新引领产业转型升级，每年推荐申报1家省级服务业创新中心或“两业”融合试点企业。聚焦科研服务、软件信息技术、现代物流等重点领域，每年培育1家省级生产性服务业领军企业。以载体培育和标杆带动引领全区服务业创新发展，全面提升产业核心竞争力。</w:t>
      </w:r>
    </w:p>
    <w:p w14:paraId="5F9505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三、重点任务</w:t>
      </w:r>
    </w:p>
    <w:p w14:paraId="1F6F3D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lang w:val="en-US" w:eastAsia="zh-CN"/>
        </w:rPr>
        <w:t>（一）推动生产性服务业扩容强基</w:t>
      </w:r>
    </w:p>
    <w:p w14:paraId="3560142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left="0" w:leftChars="0" w:firstLine="619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highlight w:val="none"/>
          <w:lang w:val="en-US" w:eastAsia="zh-CN"/>
        </w:rPr>
        <w:t>1.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育强现代</w:t>
      </w:r>
      <w:r>
        <w:rPr>
          <w:rFonts w:hint="eastAsia" w:cs="Times New Roman"/>
          <w:b/>
          <w:bCs/>
          <w:color w:val="auto"/>
          <w:highlight w:val="none"/>
          <w:lang w:eastAsia="zh-CN"/>
        </w:rPr>
        <w:t>（交通）</w:t>
      </w:r>
      <w:r>
        <w:rPr>
          <w:rFonts w:hint="default" w:ascii="Times New Roman" w:hAnsi="Times New Roman" w:cs="Times New Roman"/>
          <w:b/>
          <w:bCs/>
          <w:color w:val="auto"/>
          <w:highlight w:val="none"/>
          <w:lang w:eastAsia="zh-CN"/>
        </w:rPr>
        <w:t>物流产业。</w:t>
      </w:r>
    </w:p>
    <w:p w14:paraId="3F99E2F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畅通物流运输通道。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依托对韩区位优势，深化“四港联动”协同机制，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打通集货、通关、运输、分拨全链条</w:t>
      </w:r>
      <w:r>
        <w:rPr>
          <w:rFonts w:hint="eastAsia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做大对韩整车多式联运规模，按需加密航线航班，</w:t>
      </w:r>
      <w:r>
        <w:rPr>
          <w:rFonts w:hint="default" w:ascii="Times New Roman" w:hAnsi="Times New Roman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持续扩大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时效与成本优势</w:t>
      </w:r>
      <w:r>
        <w:rPr>
          <w:rFonts w:hint="eastAsia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依托中外运与LX Pantos合资企业资源，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完善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海空联运中转通道，融入中日韩“海上高速公路”</w:t>
      </w:r>
      <w:r>
        <w:rPr>
          <w:rFonts w:hint="default" w:ascii="Times New Roman" w:hAnsi="Times New Roman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建设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，联动沿黄口岸</w:t>
      </w:r>
      <w:r>
        <w:rPr>
          <w:rFonts w:hint="default" w:ascii="Times New Roman" w:hAnsi="Times New Roman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城市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拓展全球物流市场</w:t>
      </w:r>
      <w:r>
        <w:rPr>
          <w:rFonts w:hint="eastAsia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。</w:t>
      </w:r>
      <w:r>
        <w:rPr>
          <w:rFonts w:hint="default" w:ascii="Times New Roman" w:hAnsi="Times New Roman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加强与韩日产业园区、制造业集群对接，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推动货代</w:t>
      </w:r>
      <w:r>
        <w:rPr>
          <w:rFonts w:hint="default" w:ascii="Times New Roman" w:hAnsi="Times New Roman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企业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与制造企业深度联动</w:t>
      </w:r>
      <w:r>
        <w:rPr>
          <w:rFonts w:hint="eastAsia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。</w:t>
      </w:r>
      <w:r>
        <w:rPr>
          <w:rFonts w:hint="default" w:ascii="Times New Roman" w:hAnsi="Times New Roman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支持中心乡镇寄递物流中转站、行政村寄递物流服务站建设运营</w:t>
      </w:r>
      <w:r>
        <w:rPr>
          <w:rFonts w:hint="eastAsia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提升区域货物集散能力。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完善物流运营载体</w:t>
      </w:r>
      <w:r>
        <w:rPr>
          <w:rFonts w:hint="default" w:ascii="Times New Roman" w:hAnsi="Times New Roman" w:cs="Times New Roman"/>
          <w:b/>
          <w:bCs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聚焦跨境物流传统优势，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加快推进山东泛杰产业园、智慧谷·东华跨境电商产业园运营，依托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中韩自贸区</w:t>
      </w:r>
      <w:r>
        <w:rPr>
          <w:rFonts w:hint="eastAsia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地方经济合作示范区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原产地证书审签中心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泛中国际物流跨境电商监管中心，优化跨境电商一站式监管通关服务，推进中外运智慧物流中心建设，打造综合性智慧物流枢纽。大力培育跨境物流新业态、新模式，支持货代企业拓展包裹集运、海外仓代发业务。鼓励企业在“一带一路”沿线国家、RCEP成员国等布局海外仓，推广“仓储+运输+通关”一体化服务模式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依托威洋石油</w:t>
      </w:r>
      <w:r>
        <w:rPr>
          <w:rFonts w:hint="eastAsia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地块优势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，培育发展</w:t>
      </w:r>
      <w:r>
        <w:rPr>
          <w:rFonts w:hint="eastAsia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危化品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仓储</w:t>
      </w:r>
      <w:r>
        <w:rPr>
          <w:rFonts w:hint="eastAsia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项目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，提升我区仓储产业规模。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推进威海湾港区二突堤集装箱码头工程建设，全面提升港口集装箱通过能力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。推动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威东航运物流平台升级改造项目建设，提升国际航运市场核心竞争力。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做强冷链物流特色赛道，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依托京东</w:t>
      </w:r>
      <w:r>
        <w:rPr>
          <w:rFonts w:hint="eastAsia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生鲜进口活鲜服务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基地优势，深化润泽冷链与京东、顺丰等头部平台合作</w:t>
      </w:r>
      <w:r>
        <w:rPr>
          <w:rFonts w:hint="eastAsia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，开拓季节性精品货运航线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。推动龙头冷链企业向中小微企业开放仓储、运输等核心资源，搭建冷链云仓提升仓储运力。持续扩大俄罗斯帝王蟹、波士顿龙虾等优质水产品进口，拓展韩国冰鲜水产等新兴贸易品类，探索高端生鲜保税中转业务，打造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全球高端鲜活水产品基地核心区。</w:t>
      </w:r>
      <w:r>
        <w:rPr>
          <w:rFonts w:hint="default" w:ascii="Times New Roman" w:hAnsi="Times New Roman" w:cs="Times New Roman"/>
          <w:b/>
          <w:bCs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推动企业提质转型。</w:t>
      </w:r>
      <w:r>
        <w:rPr>
          <w:rFonts w:hint="default" w:ascii="Times New Roman" w:hAnsi="Times New Roman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实行“动态管理、专班服务”</w:t>
      </w:r>
      <w:r>
        <w:rPr>
          <w:rFonts w:hint="eastAsia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扶持本土优质企业兼并重组扩容做强，推动</w:t>
      </w:r>
      <w:r>
        <w:rPr>
          <w:rFonts w:hint="default" w:ascii="Times New Roman" w:hAnsi="Times New Roman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山东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泛亚、</w:t>
      </w:r>
      <w:r>
        <w:rPr>
          <w:rFonts w:hint="default" w:ascii="Times New Roman" w:hAnsi="Times New Roman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威海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海联等头部企业从单一运输代理向综合供应链服务商转型</w:t>
      </w:r>
      <w:r>
        <w:rPr>
          <w:rFonts w:hint="eastAsia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引导中小货代</w:t>
      </w:r>
      <w:r>
        <w:rPr>
          <w:rFonts w:hint="eastAsia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企业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深耕细分赛道，培育货代领域“专精特新”主体。深化数字赋能，</w:t>
      </w:r>
      <w:r>
        <w:rPr>
          <w:rFonts w:hint="default" w:ascii="Times New Roman" w:hAnsi="Times New Roman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加快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建设跨境物流数字化基础设施，推动订舱、报关、追踪全流程线上可视化</w:t>
      </w:r>
      <w:r>
        <w:rPr>
          <w:rFonts w:hint="eastAsia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鼓励企业加大数字技术投入，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打造智能分拣中心，</w:t>
      </w:r>
      <w:r>
        <w:rPr>
          <w:rFonts w:hint="default" w:ascii="Times New Roman" w:hAnsi="Times New Roman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实现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智能调度、全程溯源</w:t>
      </w:r>
      <w:r>
        <w:rPr>
          <w:rFonts w:hint="default" w:ascii="Times New Roman" w:hAnsi="Times New Roman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提升行业智慧运营水平。</w:t>
      </w:r>
    </w:p>
    <w:p w14:paraId="3DD6C5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16" w:firstLineChars="200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争取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累计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新纳统国际货运代理企业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家，主营业务收入增长10%。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道路货运量较2025年增长8%以上，仓储邮政收入较2025年增长6%以上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培育营收5000万级骨干企业1家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，辖区营运货车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新能源车占比达10%。</w:t>
      </w:r>
    </w:p>
    <w:p w14:paraId="4C2A264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2030年，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/>
        </w:rPr>
        <w:t>争取国际货代备案企业突破150家，</w:t>
      </w:r>
      <w:r>
        <w:rPr>
          <w:rFonts w:hint="default" w:ascii="Times New Roman" w:hAnsi="Times New Roman" w:eastAsia="仿宋_GB2312" w:cs="Times New Roman"/>
          <w:color w:val="auto"/>
          <w:highlight w:val="none"/>
          <w:lang w:val="en-US" w:eastAsia="zh-CN"/>
        </w:rPr>
        <w:t>规上企业由现在的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/>
        </w:rPr>
        <w:t>19家增长至</w:t>
      </w:r>
      <w:r>
        <w:rPr>
          <w:rFonts w:hint="eastAsia" w:cs="Times New Roman"/>
          <w:color w:val="auto"/>
          <w:spacing w:val="-6"/>
          <w:sz w:val="32"/>
          <w:szCs w:val="32"/>
          <w:highlight w:val="none"/>
          <w:lang w:val="en-US" w:eastAsia="zh-CN"/>
        </w:rPr>
        <w:t>29</w:t>
      </w:r>
      <w:r>
        <w:rPr>
          <w:rFonts w:hint="default" w:ascii="Times New Roman" w:hAnsi="Times New Roman" w:eastAsia="仿宋_GB2312" w:cs="Times New Roman"/>
          <w:color w:val="auto"/>
          <w:highlight w:val="none"/>
          <w:lang w:val="en-US" w:eastAsia="zh-CN"/>
        </w:rPr>
        <w:t>家，主营业务收入增长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/>
        </w:rPr>
        <w:t>30%</w:t>
      </w:r>
      <w:r>
        <w:rPr>
          <w:rFonts w:hint="default" w:ascii="Times New Roman" w:hAnsi="Times New Roman" w:eastAsia="仿宋_GB2312" w:cs="Times New Roman"/>
          <w:color w:val="auto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highlight w:val="none"/>
          <w:lang w:eastAsia="zh-CN"/>
        </w:rPr>
        <w:t>建成3个国际货代产业集聚园区，培育5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highlight w:val="none"/>
          <w:lang w:eastAsia="zh-CN"/>
        </w:rPr>
        <w:t>8家数字化货代示范企业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highlight w:val="none"/>
          <w:lang w:eastAsia="zh-CN"/>
        </w:rPr>
        <w:t>海外仓</w:t>
      </w:r>
      <w:r>
        <w:rPr>
          <w:rFonts w:hint="eastAsia" w:cs="Times New Roman"/>
          <w:color w:val="auto"/>
          <w:highlight w:val="none"/>
          <w:lang w:eastAsia="zh-CN"/>
        </w:rPr>
        <w:t>达到</w:t>
      </w:r>
      <w:r>
        <w:rPr>
          <w:rFonts w:hint="eastAsia" w:cs="Times New Roman"/>
          <w:color w:val="auto"/>
          <w:highlight w:val="none"/>
          <w:lang w:val="en-US" w:eastAsia="zh-CN"/>
        </w:rPr>
        <w:t>6个</w:t>
      </w:r>
      <w:r>
        <w:rPr>
          <w:rFonts w:hint="default" w:ascii="Times New Roman" w:hAnsi="Times New Roman" w:eastAsia="仿宋_GB2312" w:cs="Times New Roman"/>
          <w:color w:val="auto"/>
          <w:highlight w:val="none"/>
          <w:lang w:eastAsia="zh-CN"/>
        </w:rPr>
        <w:t>，建成3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highlight w:val="none"/>
          <w:lang w:eastAsia="zh-CN"/>
        </w:rPr>
        <w:t>5个专业化冷链物流基地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highlight w:val="none"/>
          <w:lang w:eastAsia="zh-CN"/>
        </w:rPr>
        <w:t>“四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港联动”整车运输实现规模化常态化运营。</w:t>
      </w:r>
    </w:p>
    <w:p w14:paraId="0EA833A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（</w:t>
      </w:r>
      <w:r>
        <w:rPr>
          <w:rFonts w:hint="eastAsia" w:ascii="楷体" w:hAnsi="楷体" w:eastAsia="楷体" w:cs="楷体"/>
          <w:color w:val="auto"/>
          <w:highlight w:val="none"/>
          <w:lang w:val="en-US" w:eastAsia="zh-CN"/>
        </w:rPr>
        <w:t>责任单位：经济发展局、建设局、商务局）</w:t>
      </w:r>
    </w:p>
    <w:p w14:paraId="39DB58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加快信息软件创新发展。</w:t>
      </w:r>
    </w:p>
    <w:p w14:paraId="06A72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实施创新载体筑基行动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建立区级软件工程技术中心培育库，扶持优质企业争创省级工程技术中心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鼓励企业研发自主知识产权软件产品，依托盈帆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科技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系统搭建制造业信息互通平台，打造行业级工业软件解决方案，培育省级软件产业高质量发展重点项目。组织企业对标数字化转型服务商评价标准，培育一批综合型集成服务商，纳入省级服务商资源池，赋能制造业数字化升级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实施工业场景赋能行动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以应用场景为牵引强化工业软件研发和应用，依托基础开发框架构建分层工业软件产品体系，推动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盈帆信息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艾迪科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本土优势工业软件产品迭代升级、推广应用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，形成一批具有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较强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竞争力的工业软件名品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围绕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我区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船舶与海工装备、新一代信息技术等优势产业，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发布数字化场景清单，推动AI与制造企业精准对接，构建工业大模型、轻量化小模型协同供给体系，形成全流程工业应用场景。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实施数字化转型“揭榜挂帅”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联合制造业企业打造可复制推广的典型场景解决方案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加速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制造业高端化、智能化、绿色化发展。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实施传统产业智改行动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深入实施“人工智能+制造”行动，积极培育省市级晨星工厂，打造具有辨识度的标杆场景。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依托全市唯一省级AI孵化平台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智慧谷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“模力空间”，开展模型微调、智能体开发，推动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迅优智能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经智信息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萌虎网络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等相关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大模型在金融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、政务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服务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智能客服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领域落地应用。深耕嵌入式软件研发，推动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艾迪科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国科智造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乐家智慧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埃尔法仪器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等相关嵌入式软件在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智能装备、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智能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物流、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视觉检测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燃气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巡检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等领域规模化部署，赋能终端产品智能化升级、提升产品附加值。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鼓励有条件的行业企业、互联网平台企业剥离数据业务，设立数据业务独立经营主体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开展数据管理能力成熟度模型（DCMM）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评估认证，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积极融入省数据流通服务平台建设总体规划，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培育数据加工、分析等新业态，推动数据要素跨领域赋能，打造交通、物流等行业数据流通平台。</w:t>
      </w:r>
    </w:p>
    <w:p w14:paraId="18C16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年，软件和信息技术服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务业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企业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总体规模达到190家，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培育过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亿级软件企业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3家，规上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软件和信息技术服务业企业数量从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家增加至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家以上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拥有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省级以上软件工程技术中心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家以上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省级首版次高端软件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超过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5个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培育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2-3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家省内有影响力的数字化转型服务商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打造行业级大模型产品2个以上，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培育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大模型典型应用场景超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10个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列入山东省制造业数字化转型“揭榜挂帅”试点项目达到6个以上。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全区软件和信息技术服务业营业收入年均增长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保持在15%以上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总量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突破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亿元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7E2A0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2030年，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软件和信息技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术服务业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企业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总体规模达到230家、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总量达到15亿元，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在嵌入式软件、人工智能、虚拟现实等领域形成一批具有自主知识产权的核心产品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在工业、服务业等领域形成一批典型应用场景和解决方案。</w:t>
      </w:r>
    </w:p>
    <w:p w14:paraId="384FFB0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责任单位：经济发展局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）</w:t>
      </w:r>
    </w:p>
    <w:p w14:paraId="71EE2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.提升工业设计核心能力。</w:t>
      </w:r>
    </w:p>
    <w:p w14:paraId="1CC7A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聚焦智能化转型，推动工业设计与人工智能、数字孪生等技术融合，发展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智能辅助设计、生成式设计、仿真优化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等新模式，在船舶海工、高端装备领域推广数字孪生设计平台，提升产品创新效能。践行绿色设计理念，将全生命周期低碳理念融入设计全流程，突破轻量化、环保材料应用等关键技术，嵌入碳足迹评估，推进绿色设计产品认证。深耕场景应用，围绕船舶与海工装备、新能源装备、高端医疗器械、智能家居等领域，挖掘用户场景需求，打造 “硬件+软件+服务” 一体化解决方案，推动产业由产品销售向整体解决方案输出转型。聚焦主导产业每年实施一批“设计+制造”示范项目，支持链主企业搭建共享设计平台，补贴中小企业外购设计服务，常态化开展企业设计诊断服务。依托中韩自贸区平台，对接日韩优质设计资源，推动标准互认、人才互通与成果跨境转化，塑造 “经开设计” 品牌。深化国际交流，扶持跨境设计服务外包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组织企业对标日韩前沿设计，对斩获国际设计奖项的给予奖励。落实研发加计扣除政策，强化设计知识产权保护，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依托智慧谷法务服务中心建立工业设计外观设计专利快速预审通道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每年发布工业设计发展白皮书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，依托各级工业设计赛事及行业宣传，营造重设计、强创新的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良好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氛围。</w:t>
      </w:r>
    </w:p>
    <w:p w14:paraId="50B1B4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2028年，争创国家级工业设计中心1-2家，省级以上工业设计中心达到12家，市级工业设计中心达到25家，省级服务型制造示范企业达到8家，工业设计相关专利授权累计新增200项以上，工业设计成果转化产值累计达到100亿元。</w:t>
      </w:r>
    </w:p>
    <w:p w14:paraId="52904A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2030年，工业设计相关专利授权累计新增300项以上，工业设计成果转化产值累计达到200亿元。</w:t>
      </w:r>
    </w:p>
    <w:p w14:paraId="07175646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  <w:t>责任单位：经济发展局</w:t>
      </w:r>
      <w:r>
        <w:rPr>
          <w:rFonts w:hint="eastAsia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）</w:t>
      </w:r>
    </w:p>
    <w:p w14:paraId="622139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推动批发零售业转型焕新。</w:t>
      </w:r>
    </w:p>
    <w:p w14:paraId="45F8118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推动传统市场加快转型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引导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润泽食品等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批发经营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从差价贸易向供应链服务升级，拓展仓储配送、金融支持、信息撮合等增值服务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引导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尚悦百货等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实体零售发展品质零售、品牌折扣、会员制零售等新业态，鼓励“前店后仓”“线上下单＋线下体验”融合模式。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加快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电商扩容提质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依托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智慧谷和综保区跨境电商产业园，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扩大优质产品进口规模，拓展多元进口渠道，打造韩日商品集散地。加强与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京东、抖音等平台资源对接，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打通平台、仓储、物流、通关、金融服务等网上贸易内在生态，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推进“好品山东”电商中心创建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，持续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做大渔具、海产品、服装家纺等优势品类电商规模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，并吸引更多优质电商落地。支持企业开展境外商标注册和国际认证，提高品牌产品出口比重。</w:t>
      </w:r>
    </w:p>
    <w:p w14:paraId="6DC7D27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2028年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累计新增限上批零法人单位不少于1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0家，网络零售额突破30亿元，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培育1</w:t>
      </w:r>
      <w:r>
        <w:rPr>
          <w:rFonts w:hint="eastAsia" w:cs="Times New Roman"/>
          <w:color w:val="auto"/>
          <w:spacing w:val="-6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2家</w:t>
      </w:r>
      <w:r>
        <w:rPr>
          <w:rFonts w:hint="default" w:ascii="Times New Roman" w:hAnsi="Times New Roman" w:cs="Times New Roman"/>
          <w:color w:val="auto"/>
          <w:spacing w:val="-6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好品山东</w:t>
      </w:r>
      <w:r>
        <w:rPr>
          <w:rFonts w:hint="default" w:ascii="Times New Roman" w:hAnsi="Times New Roman" w:cs="Times New Roman"/>
          <w:color w:val="auto"/>
          <w:spacing w:val="-6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电商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中心。</w:t>
      </w:r>
    </w:p>
    <w:p w14:paraId="30C1038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2030年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累计新增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限上批零法人单位150家以上，网络</w:t>
      </w:r>
      <w:r>
        <w:rPr>
          <w:rFonts w:hint="default" w:cs="Times New Roman"/>
          <w:color w:val="auto"/>
          <w:sz w:val="32"/>
          <w:szCs w:val="32"/>
          <w:highlight w:val="none"/>
          <w:lang w:eastAsia="zh-CN"/>
        </w:rPr>
        <w:t>零售额突破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40</w:t>
      </w:r>
      <w:r>
        <w:rPr>
          <w:rFonts w:hint="default" w:cs="Times New Roman"/>
          <w:color w:val="auto"/>
          <w:sz w:val="32"/>
          <w:szCs w:val="32"/>
          <w:highlight w:val="none"/>
          <w:lang w:eastAsia="zh-CN"/>
        </w:rPr>
        <w:t>亿元，年销售额超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default" w:cs="Times New Roman"/>
          <w:color w:val="auto"/>
          <w:sz w:val="32"/>
          <w:szCs w:val="32"/>
          <w:highlight w:val="none"/>
          <w:lang w:eastAsia="zh-CN"/>
        </w:rPr>
        <w:t>亿元的批发业骨干企业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达到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8家</w:t>
      </w:r>
      <w:r>
        <w:rPr>
          <w:rFonts w:hint="default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292D45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16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楷体" w:hAnsi="楷体" w:eastAsia="楷体" w:cs="楷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责任单位：商务局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）</w:t>
      </w:r>
    </w:p>
    <w:p w14:paraId="131E21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增强现代金融服务能力。</w:t>
      </w:r>
    </w:p>
    <w:p w14:paraId="05A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优化货币信贷服务，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引导银行机构加大对高端装备制造、新材料、生物医药等主导产业的信贷投放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推广“科技成果转化贷款”等专属产品，依托智慧谷园区每年举办2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3场投融资对接活动。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积极培育新兴金融业态，重点引进数字金融、供应链金融等优质服务机构，深化合格境外有限合伙人（QFLP）试点建设，鼓励本土龙头企业、上市公司发起设立私募股权投资机构。创新保险服务体系，开发海工装备、跨境电商定制化责任险，发展首台套装备、首批次新材料、知识产权等科技保险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发展农业保险、巨灾保险、责任保险，提升社会治理和民生保障能力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完善多层次医疗保障体系，实施“威你保”扩面行动，支持商业保险机构探索开发商业长护险产品。</w:t>
      </w:r>
    </w:p>
    <w:p w14:paraId="0B978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2028年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全区存款余额突破10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亿元，贷款余额突破735亿元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保费收入达到7.6亿元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。三年累计引进金融机构5家以上。动态管理上市挂牌后备资源库稳定在40家以上。科技贷款、绿色贷款增速均超过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%。</w:t>
      </w:r>
    </w:p>
    <w:p w14:paraId="610B8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lang w:eastAsia="zh-CN"/>
        </w:rPr>
        <w:t>030年，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全区存款余额突破1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150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亿元，贷款总量突破8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0亿元，年均增速保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持在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10%以上。智慧谷金融集聚区累计引进金融机构不少于8家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保险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收入达到8.1亿元以上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</w:p>
    <w:p w14:paraId="5C866E3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eastAsia="仿宋_GB2312"/>
          <w:color w:val="auto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责任单位：财政金融局、科技创新局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）</w:t>
      </w:r>
    </w:p>
    <w:p w14:paraId="2B0D49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提升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现代商务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服务水平。</w:t>
      </w:r>
    </w:p>
    <w:p w14:paraId="06F0C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增强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科创服务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能力。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聚焦十二条标志性产业链，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依托高校、科研平台及数字技术搭建协同创新机制，围绕招商船厂、泓淋电力等重点企业发展产学研合作、技术交易、智改数转等科创服务，赋能传统产业升级。提档升级天智创新技术研究院等四大重点科研平台，推动从单一研发向招商、孵化、技术转移综合服务转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做优机器人中试基地，推动智慧谷、众科工业园等载体争创省级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及以上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孵化器，构建全链条中试孵化支撑体系。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40"/>
          <w:highlight w:val="none"/>
          <w:lang w:val="en-US" w:eastAsia="zh-CN"/>
        </w:rPr>
        <w:t>大力发展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40"/>
          <w:highlight w:val="none"/>
          <w:lang w:val="en-US" w:eastAsia="zh-CN"/>
        </w:rPr>
        <w:t>广告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40"/>
          <w:highlight w:val="none"/>
          <w:lang w:val="en-US" w:eastAsia="zh-CN"/>
        </w:rPr>
        <w:t>产业。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</w:rPr>
        <w:t>依托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  <w:lang w:eastAsia="zh-CN"/>
        </w:rPr>
        <w:t>智慧谷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highlight w:val="none"/>
          <w:lang w:eastAsia="zh-CN"/>
        </w:rPr>
        <w:t>市级数字广告产业园区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</w:rPr>
        <w:t>，聚焦数字广告、直播电商、品牌策划补链强链，争创省级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highlight w:val="none"/>
          <w:lang w:eastAsia="zh-CN"/>
        </w:rPr>
        <w:t>数字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</w:rPr>
        <w:t>广告产业园区。引进头部MCN、数字营销等优质企业及人才团队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</w:rPr>
        <w:t>组织企业参与各级广告创意大赛。推动大数据、AI、虚拟现实等技术赋能广告行业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</w:rPr>
        <w:t>对接本地高端装备、海洋食品等主导产业，推动广告服务融入品牌建设、产品推广全链条，助力“好品山东”“威海智造”建设。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-6"/>
          <w:kern w:val="0"/>
          <w:sz w:val="32"/>
          <w:szCs w:val="32"/>
          <w:highlight w:val="none"/>
          <w:lang w:eastAsia="zh-CN"/>
        </w:rPr>
        <w:t>完善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-6"/>
          <w:kern w:val="0"/>
          <w:sz w:val="32"/>
          <w:szCs w:val="32"/>
          <w:highlight w:val="none"/>
        </w:rPr>
        <w:t>商业综合体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-6"/>
          <w:kern w:val="0"/>
          <w:sz w:val="32"/>
          <w:szCs w:val="32"/>
          <w:highlight w:val="none"/>
          <w:lang w:eastAsia="zh-CN"/>
        </w:rPr>
        <w:t>运营管理。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立足九龙城、韩乐坊、T16 街区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、站前商圈等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资源禀赋与发展基底，统筹编制差异化发展指引，大力引入沉浸式演艺、艺术展览、文体赛事等体验型非零售业态，提升商圈客流集聚度与消费驻留时长</w:t>
      </w:r>
      <w:r>
        <w:rPr>
          <w:rFonts w:hint="eastAsia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对存量商业设施实施 “一店一策” 升级改造，探索“商业+办公”“商业+文化”多元混合业态布局</w:t>
      </w:r>
      <w:r>
        <w:rPr>
          <w:rFonts w:hint="eastAsia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加快推进智慧商圈提质升级，整合客流监测、消费分析、停车管理等多维数据资源，以数字化手段赋能商圈精准运营，全面激活实体商业消费活力。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壮大财税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审计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市场主体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精准招引优质高端机构和业态，扶持本土会计师事务所拓展高端业务，推动小微代账机构整合提质。常态化开展政策实操培训，大力吸纳注册会计师、税务师等专业人才。推动行业数字化升级，搭建行业共享平台，拓展财税研判、政策匹配等增值服务。健全多部门联合监管机制，完善机构与从业人员信用档案，统一行业服务、执业、收费标准，遏制低价恶性竞争。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提升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法律咨询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专业能力。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引导律师业务从传统诉讼向合规风控等高端非诉服务延伸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推进法律服务机构规范化发展，打造涉农、小微企业维权等法律服务品牌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。完善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公证服务体系，畅通镇街公证便民渠道，做强涉外公证服务，拓展知识产权、涉农合同、跨境电商存证等新型公证业务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0"/>
          <w:szCs w:val="30"/>
          <w:highlight w:val="none"/>
          <w:lang w:val="en-US" w:eastAsia="zh-CN"/>
        </w:rPr>
        <w:t>打造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highlight w:val="none"/>
          <w:lang w:val="en-US" w:eastAsia="zh-CN"/>
        </w:rPr>
        <w:t>人力资源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0"/>
          <w:szCs w:val="30"/>
          <w:highlight w:val="none"/>
          <w:lang w:val="en-US" w:eastAsia="zh-CN"/>
        </w:rPr>
        <w:t>特色品牌。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重点指导富田人力、财金富田等头部企业优化业务结构、降低代收代付占比、提升营业净收入，打造区域行业龙头标杆。培育细分领域标杆人力资源服务机构，鼓励人力资源服务向医养健康等领域融合拓展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中盛、博文人力资源等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种子机构按经营状况、发展潜力，分类指导晋级纳统和稳定经营，打造特色服务品牌。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用好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威海市就业服务平台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建设线上与线下深度融合的“数智就业”服务区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 w14:paraId="52E704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2028年，实施“科技赋能一批”项目60个以上，立项省级科技项目10个以上，新备案省级技术转移服务机构1家，创建省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、部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级孵化器1家。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  <w:u w:val="none"/>
        </w:rPr>
        <w:t>广告业经营主体突破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  <w:u w:val="none"/>
          <w:lang w:val="en-US" w:eastAsia="zh-CN"/>
        </w:rPr>
        <w:t>110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  <w:u w:val="none"/>
        </w:rPr>
        <w:t>家，数字广告经营收入占比达到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  <w:u w:val="none"/>
          <w:lang w:val="en-US" w:eastAsia="zh-CN"/>
        </w:rPr>
        <w:t>40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  <w:u w:val="none"/>
        </w:rPr>
        <w:t>%以上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highlight w:val="none"/>
          <w:u w:val="none"/>
        </w:rPr>
        <w:t>商业综合体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40"/>
          <w:highlight w:val="none"/>
          <w:u w:val="none"/>
          <w:lang w:eastAsia="zh-CN"/>
        </w:rPr>
        <w:t>累计培育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限上企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  <w:u w:val="none"/>
          <w:lang w:val="en-US" w:eastAsia="zh-CN"/>
        </w:rPr>
        <w:t>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highlight w:val="none"/>
          <w:u w:val="none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  <w:u w:val="none"/>
          <w:lang w:val="en-US" w:eastAsia="zh-CN"/>
        </w:rPr>
        <w:t>家以上，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五大综合体年营业额合计突破60亿元，新增省级特色街区1条。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财税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行业总营收突破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3500万元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培育一批本土知名财税服务品牌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新增人力资源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纳统机构2家，中高端人力资源服务业务占比提升至20%以上。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lang w:val="en-US" w:eastAsia="zh-CN" w:bidi="ar"/>
        </w:rPr>
        <w:t>打造细分领域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lang w:val="en-US" w:eastAsia="zh-CN" w:bidi="ar"/>
        </w:rPr>
        <w:t>法律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lang w:val="en-US" w:eastAsia="zh-CN" w:bidi="ar"/>
        </w:rPr>
        <w:t>服务品牌1个。</w:t>
      </w:r>
    </w:p>
    <w:p w14:paraId="3F3DE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2030年，新达成产学研合作项目80项以上，累计实现技术交易额10亿元以上，完成定制化赋能项目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个以上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创建省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、部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级孵化器2家。五大综合体年营业额合计突破80亿元，累计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培育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限上企业50家以上，形成“一综合体一特色、五体联动互补”的商圈格局。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财税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行业总营收突破4000万元，年营收100万元以上头部机构达到12家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行业增值服务占比超40%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。人力资源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纳统机构总数达到11家以上，培育2-3个具有区域影响力的人力资源服务品牌。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lang w:val="en-US" w:eastAsia="zh-CN" w:bidi="ar"/>
        </w:rPr>
        <w:t>律师、基层法律服务工作者、公证三大行业人才队伍实现质效齐增，专业化、便民化水平进入全市第一梯队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。</w:t>
      </w:r>
    </w:p>
    <w:p w14:paraId="7F86C116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/>
          <w:color w:val="auto"/>
          <w:highlight w:val="none"/>
          <w:lang w:eastAsia="zh-CN"/>
        </w:rPr>
      </w:pPr>
      <w:r>
        <w:rPr>
          <w:rFonts w:hint="eastAsia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（</w:t>
      </w:r>
      <w:r>
        <w:rPr>
          <w:rFonts w:hint="eastAsia" w:ascii="楷体" w:hAnsi="楷体" w:eastAsia="楷体" w:cs="楷体"/>
          <w:color w:val="auto"/>
          <w:kern w:val="0"/>
          <w:sz w:val="32"/>
          <w:szCs w:val="32"/>
          <w:highlight w:val="none"/>
          <w:lang w:val="en-US" w:eastAsia="zh-CN" w:bidi="ar"/>
        </w:rPr>
        <w:t>责任单位：政法工作部、财政金融局、商务局、科技创新局、市场监督管理局</w:t>
      </w:r>
      <w:r>
        <w:rPr>
          <w:rFonts w:hint="eastAsia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）</w:t>
      </w:r>
    </w:p>
    <w:p w14:paraId="12762A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lang w:eastAsia="zh-CN"/>
        </w:rPr>
        <w:t>（二）分类推进生活性服务业提档升级</w:t>
      </w:r>
    </w:p>
    <w:p w14:paraId="31B3B9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lang w:eastAsia="zh-CN"/>
        </w:rPr>
        <w:t>完善便民宜居生活服务。</w:t>
      </w:r>
    </w:p>
    <w:p w14:paraId="4AF65F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（1）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增加优质居民服务供给。</w:t>
      </w:r>
    </w:p>
    <w:p w14:paraId="1CF1030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对标全域推进先行区标准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威海市入选全国第二批全域推进先行区试点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推动邻近居民区的传统便利店、超市向社区商业中心转型，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新建小区同步配建一刻钟便民生活圈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老旧小区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加快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改造补齐，三年内实现建成区全覆盖。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建设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家政网络综合服务平台，培育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宜云家政等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本土家政龙头品牌，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发展“家政+互联网”“家政+直播”等新兴模式</w:t>
      </w:r>
      <w:r>
        <w:rPr>
          <w:rFonts w:hint="eastAsia" w:cs="Times New Roman"/>
          <w:color w:val="auto"/>
          <w:highlight w:val="none"/>
          <w:lang w:val="en-US" w:eastAsia="zh-CN"/>
        </w:rPr>
        <w:t>，推动家政企业入驻商务部家政信用信息平台并建立信用档案。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优化职业教育贯通培养布局</w:t>
      </w:r>
      <w:r>
        <w:rPr>
          <w:rFonts w:hint="eastAsia" w:cs="Times New Roman"/>
          <w:color w:val="auto"/>
          <w:highlight w:val="none"/>
          <w:lang w:val="en-US" w:eastAsia="zh-CN"/>
        </w:rPr>
        <w:t>，用好智慧谷职业中等专业学校等资源载体，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依托“技能兴威”竞赛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，三年培训家政从业人员不少于2000人次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重点补齐托育、养老助餐、维修维护、再生资源回收等短板业态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鼓励社会资本进入，对公益类业态给予租金补贴或政府购买服务。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面向困难群体，着力满足特殊照护需求。</w:t>
      </w:r>
    </w:p>
    <w:p w14:paraId="44CF6B5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2028年，累计</w:t>
      </w:r>
      <w:r>
        <w:rPr>
          <w:rFonts w:hint="default" w:ascii="Times New Roman" w:hAnsi="Times New Roman" w:cs="Times New Roman"/>
          <w:color w:val="auto"/>
          <w:highlight w:val="none"/>
        </w:rPr>
        <w:t>新增便民生活圈</w:t>
      </w:r>
      <w:r>
        <w:rPr>
          <w:rFonts w:hint="eastAsia" w:cs="Times New Roman"/>
          <w:color w:val="auto"/>
          <w:highlight w:val="none"/>
          <w:lang w:val="en-US" w:eastAsia="zh-CN"/>
        </w:rPr>
        <w:t>10</w:t>
      </w:r>
      <w:r>
        <w:rPr>
          <w:rFonts w:hint="default" w:ascii="Times New Roman" w:hAnsi="Times New Roman" w:cs="Times New Roman"/>
          <w:color w:val="auto"/>
          <w:highlight w:val="none"/>
        </w:rPr>
        <w:t>处，限上居民服务企业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累计</w:t>
      </w:r>
      <w:r>
        <w:rPr>
          <w:rFonts w:hint="default" w:ascii="Times New Roman" w:hAnsi="Times New Roman" w:cs="Times New Roman"/>
          <w:color w:val="auto"/>
          <w:highlight w:val="none"/>
        </w:rPr>
        <w:t>净增</w:t>
      </w:r>
      <w:r>
        <w:rPr>
          <w:rFonts w:hint="eastAsia" w:cs="Times New Roman"/>
          <w:color w:val="auto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highlight w:val="none"/>
        </w:rPr>
        <w:t>家以上，家政持证上岗率</w:t>
      </w:r>
      <w:r>
        <w:rPr>
          <w:rFonts w:hint="eastAsia" w:cs="Times New Roman"/>
          <w:color w:val="auto"/>
          <w:highlight w:val="none"/>
          <w:lang w:eastAsia="zh-CN"/>
        </w:rPr>
        <w:t>达到</w:t>
      </w:r>
      <w:r>
        <w:rPr>
          <w:rFonts w:hint="default" w:ascii="Times New Roman" w:hAnsi="Times New Roman" w:cs="Times New Roman"/>
          <w:color w:val="auto"/>
          <w:highlight w:val="none"/>
        </w:rPr>
        <w:t>80％。</w:t>
      </w:r>
    </w:p>
    <w:p w14:paraId="1636838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2030年，</w:t>
      </w:r>
      <w:r>
        <w:rPr>
          <w:rFonts w:hint="default" w:ascii="Times New Roman" w:hAnsi="Times New Roman" w:cs="Times New Roman"/>
          <w:color w:val="auto"/>
          <w:highlight w:val="none"/>
        </w:rPr>
        <w:t>一刻钟便民生活圈实现建成区全覆盖，限上居民服务企业较2025年净增</w:t>
      </w:r>
      <w:r>
        <w:rPr>
          <w:rFonts w:hint="eastAsia" w:cs="Times New Roman"/>
          <w:color w:val="auto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  <w:highlight w:val="none"/>
        </w:rPr>
        <w:t>家以上，培育本土家政龙头品牌3个以上，家政从业人员持证上岗率达到90％以上，居民服务业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实现</w:t>
      </w:r>
      <w:r>
        <w:rPr>
          <w:rFonts w:hint="default" w:ascii="Times New Roman" w:hAnsi="Times New Roman" w:cs="Times New Roman"/>
          <w:color w:val="auto"/>
          <w:highlight w:val="none"/>
        </w:rPr>
        <w:t>规范化、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品牌化、连锁化发展。</w:t>
      </w:r>
    </w:p>
    <w:p w14:paraId="7F30184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（</w:t>
      </w:r>
      <w:r>
        <w:rPr>
          <w:rFonts w:hint="eastAsia" w:ascii="楷体" w:hAnsi="楷体" w:eastAsia="楷体" w:cs="楷体"/>
          <w:color w:val="auto"/>
          <w:highlight w:val="none"/>
          <w:lang w:val="en-US" w:eastAsia="zh-CN"/>
        </w:rPr>
        <w:t>责任单位：商务局、科技创新局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）</w:t>
      </w:r>
    </w:p>
    <w:p w14:paraId="7E148B7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pacing w:val="-6"/>
          <w:kern w:val="0"/>
          <w:sz w:val="32"/>
          <w:szCs w:val="32"/>
          <w:highlight w:val="none"/>
          <w:lang w:val="en-US" w:eastAsia="zh-CN"/>
        </w:rPr>
        <w:t>（2）</w:t>
      </w:r>
      <w:r>
        <w:rPr>
          <w:rFonts w:hint="default" w:ascii="Times New Roman" w:hAnsi="Times New Roman" w:cs="Times New Roman"/>
          <w:b/>
          <w:bCs/>
          <w:color w:val="auto"/>
          <w:spacing w:val="-6"/>
          <w:kern w:val="0"/>
          <w:sz w:val="32"/>
          <w:szCs w:val="32"/>
          <w:highlight w:val="none"/>
          <w:lang w:eastAsia="zh-CN"/>
        </w:rPr>
        <w:t>提升住宿餐饮服务品质。</w:t>
      </w:r>
    </w:p>
    <w:p w14:paraId="597D666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深化“乐宿山东”经区行动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引导现有酒店提星升级，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引进中高端连锁品牌，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鼓励发展滨海度假、亲子主题、康养休闲等特色住宿业态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培育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打造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本土精品民宿品牌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特色民宿集聚区。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用好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齐鲁美食节、齐鲁服务消费季等省级平台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政策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，深化韩乐坊国家级夜间文旅消费集聚区建设，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完善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T16街区运营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机制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鼓励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发展深夜食堂、24小时书店等新业态，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常态化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举办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各类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主题促消费活动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打造“夜经区”消费IP，实现夜间经济连片成势。</w:t>
      </w:r>
    </w:p>
    <w:p w14:paraId="78A06FC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2028年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限上住宿业法人单位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累计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净增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家以上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限上餐饮业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累计净增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5家以上。韩乐坊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客流量突破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1500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万人次，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夜间经济营收年均增长15％以上，全年住餐营业额突破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亿元。</w:t>
      </w:r>
    </w:p>
    <w:p w14:paraId="68DB1C4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限上住宿业法人单位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累计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净增12家以上，限上餐饮业净增20家以上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培育本土餐饮龙头品牌5个以上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韩乐坊年客流量突破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1600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万人次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形成“高端度假＋商务酒店＋精品民宿”住宿体系和“韩式特色＋威海味道＋夜间经济”餐饮矩阵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518EFC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16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楷体" w:hAnsi="楷体" w:eastAsia="楷体" w:cs="楷体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责任单位：商务局、文化旅游服务中心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）</w:t>
      </w:r>
    </w:p>
    <w:p w14:paraId="0FF678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（3）加力改善居民住房服务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。</w:t>
      </w:r>
    </w:p>
    <w:p w14:paraId="64059731">
      <w:pPr>
        <w:pStyle w:val="3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全力推进“好房子”建设。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大力推动住房建设从增量开发向提质增效转型，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稳步推进12宗739亩土地供应，优先推出精致小巧的4宗91亩土地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/>
          <w:color w:val="auto"/>
          <w:lang w:val="en-US" w:eastAsia="zh-CN"/>
        </w:rPr>
        <w:t>中心城区新出让住宅用地原则上按照不低于省级高品质标准</w:t>
      </w:r>
      <w:r>
        <w:rPr>
          <w:rFonts w:hint="eastAsia"/>
          <w:color w:val="auto"/>
          <w:lang w:val="en-US" w:eastAsia="zh-CN"/>
        </w:rPr>
        <w:t>建设，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建立健全覆盖全周期的“好房子”技术导则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与评价体系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推广装配式建筑、绿色建材等新技术新工艺，打造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威新缦云湾等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更多标杆住宅项目。鼓励房企优化营销策略、创新推广模式，依托线上线下平台，积极参与各类展销活动。聚焦东部新城发展潜能，探索“房地产+”多元发展模式，结合康养医疗、特色民宿等业态盘活存量房源，高效推进库存去化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统筹用好政策机制。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依托《收购存量商品房用作保障性租赁住房管理办法（试行）》，由地方国企对符合条件的存量商品房实施收购，转化为保障性租赁住房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持续培育专业化、规模化住房租赁试点企业，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探索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住房租赁市场多元化发展模式。建立房地产市场常态化风险排查预警机制和跨部门协同监管机制，充分发挥“白名单”作用，满足房地产项目合理融资需求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对开发项目实行动态台账管理，严厉打击违法违规行为。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规范行业服务治理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建立中介机构“红黑榜”公示制度，完善从业人员常态化培训机制，探索建立行业信息共享平台，提升监管与服务效率。</w:t>
      </w:r>
      <w:r>
        <w:rPr>
          <w:rFonts w:hint="default" w:ascii="Times New Roman" w:hAnsi="Times New Roman" w:eastAsia="仿宋_GB2312" w:cs="Times New Roman"/>
          <w:b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健全社区、业委会、物业三方联动机制，推行“物业+”模式，</w:t>
      </w:r>
      <w:r>
        <w:rPr>
          <w:rFonts w:hint="eastAsia" w:ascii="Times New Roman" w:hAnsi="Times New Roman" w:eastAsia="仿宋_GB2312" w:cs="Times New Roman"/>
          <w:b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持续推广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五渚河、威新瑞璟打造“新城邻享”超市及业主餐厅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经验，不断</w:t>
      </w:r>
      <w:r>
        <w:rPr>
          <w:rFonts w:hint="default" w:ascii="Times New Roman" w:hAnsi="Times New Roman" w:eastAsia="仿宋_GB2312" w:cs="Times New Roman"/>
          <w:b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拓展家政、陪护等增值服务，盘活小区闲置资源拓宽营收渠道</w:t>
      </w:r>
      <w:r>
        <w:rPr>
          <w:rFonts w:hint="eastAsia" w:ascii="Times New Roman" w:hAnsi="Times New Roman" w:eastAsia="仿宋_GB2312" w:cs="Times New Roman"/>
          <w:b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推进智慧设施升级改造，提升物业精细化、数字化管护水平。</w:t>
      </w:r>
    </w:p>
    <w:p w14:paraId="0634D4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2028年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商品房销售面积同比增速1%，房地产开发投资全年同比增速6%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新增省级高品质住宅试点项目2个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打造1-2家市级龙头物业标杆企业，培育2家细分领域特色中型企业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打造本土诚信中介品牌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家以上，增值服务营收占比提升至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0%以上。</w:t>
      </w:r>
    </w:p>
    <w:p w14:paraId="23C9D34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2030年，商品房销售面积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同比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增速1%，房地产开发投资全年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同比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增速7%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省级高品质住宅试点项目实现重点板块全覆盖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培育3-5家市级物业行业标杆企业，行业集中度达到60%以上。打造本土诚信中介品牌5家以上，区域市场占有率达30%以上，客户满意度达90%以上。</w:t>
      </w:r>
    </w:p>
    <w:p w14:paraId="02E986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/>
          <w:color w:val="auto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楷体" w:hAnsi="楷体" w:eastAsia="楷体" w:cs="楷体"/>
          <w:b w:val="0"/>
          <w:color w:val="auto"/>
          <w:kern w:val="2"/>
          <w:sz w:val="32"/>
          <w:szCs w:val="32"/>
          <w:highlight w:val="none"/>
          <w:lang w:val="en-US" w:eastAsia="zh-CN" w:bidi="ar-SA"/>
        </w:rPr>
        <w:t>责任单位：建设局、精致城市管理办公室）</w:t>
      </w:r>
    </w:p>
    <w:p w14:paraId="655560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健全康养育幼民生服务。</w:t>
      </w:r>
    </w:p>
    <w:p w14:paraId="554233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（1）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提升康养服务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能力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。</w:t>
      </w:r>
    </w:p>
    <w:p w14:paraId="237E95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推进</w:t>
      </w:r>
      <w:r>
        <w:rPr>
          <w:rFonts w:hint="eastAsia" w:ascii="Times New Roman" w:hAnsi="Times New Roman" w:eastAsia="仿宋_GB2312" w:cs="Times New Roman"/>
          <w:b/>
          <w:bCs/>
          <w:strike w:val="0"/>
          <w:color w:val="auto"/>
          <w:sz w:val="32"/>
          <w:szCs w:val="32"/>
          <w:highlight w:val="none"/>
          <w:lang w:val="en-US" w:eastAsia="zh-CN"/>
        </w:rPr>
        <w:t>康养旅游产业融合发展区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建设。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围绕医疗健康、康养度假、健康制造、休闲运动、商务会展、教育科研六大功能，打造全市康养文旅产业核心板块。对接山东健康集团等头部康养企业，招引高端医美、休闲旅居、康复医疗、健康制造、体育运动等产业项目，联动五渚河、逍遥湖两大度假区，构筑滨海旅居康养综合体，植入高端康养酒店、全龄旅居社区、特色民宿集群与滨海观光等业态，促进医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健康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与文旅休闲无缝对接，实现全周期康养综合承载与服务供给。搭建康养交流平台，常态化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承办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康养论坛、商务会展、产业博览等活动，塑造滨海康养特色区域品牌。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健全养老服务体系。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提档升级龙山湖智慧养老服务中心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和德苑社会组织孵化中心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，2027年联通省市平台，建成区级综合养老服务枢纽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镇街分步推进综合养老服务中心功能提质，2028年实现全覆盖并具备全托、日托、上门服务能力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村居推行“中心+站点”嵌入式、互助式养老，分批打造示范点位，推进五渚河社区创建全国示范性老年友好型社区。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深化医养融合发展。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鼓励医疗机构拓展养老服务，养老机构增加医疗服务，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构建海大医院牵头的“1+6+N”医养联合体，深化“两院一体”“五床联动”模式，拓展居家护理、慢病照护服务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。支持护理型养老机构建设，发展家庭养老床位等“类机构”照护模式，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2026年完成从业人员全员培训，2028年两证齐全医养结合机构数量争取达到5家，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打造2-3个医养融合示范机构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60%以上的镇卫生院（社区卫生服务中心）具备安宁疗护服务能力，医养结合床位达到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800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张。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强化养老服务保障。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落实养老服务消费补贴，规范申领监管流程，引导机构普惠定价、供给普惠床位，逐年提升普惠型养老机构占比（力争2027年普惠支持型养老机构占比超60%，2028年提升至70%以上）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健全特殊困难老人定期探访关爱机制，实现全覆盖探访并建立精准台账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开展养老人才提质行动，保障护理员岗前、持证上岗达标率。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培育银发康养新业态。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壮大康复辅具、健康养生市场主体，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依托七福养老品牌，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分步建成区级康复辅具展示服务中心及全市示范窗口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依托本土康养企业打造标准化运营品牌，输出服务标准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推进旅居康养、健康产业项目落地运营，梯度培育五星级养老机构，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2028年，争取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五星级养老机构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达到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2030年，达到3家。推广养老智能终端产品，推进“养老院+互联网医院”模式，分批建设数字化社区养老场所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对接市级智慧养老项目，推广“一床一码”应用，推动星级养老机构智能化改造，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2028年建成2家以上智慧养老院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2030年累计建成4家。</w:t>
      </w:r>
    </w:p>
    <w:p w14:paraId="54C63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2028年，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累计建成社区综合为老服务中心10个以上、数字化社区养老服务场所10个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，实现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60%以上养老机构参与社区居家服务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争创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家全国示范性老年友好型社区。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落地3-5个龙头康养项目，</w:t>
      </w:r>
      <w:r>
        <w:rPr>
          <w:rFonts w:hint="eastAsia" w:ascii="Times New Roman" w:hAnsi="Times New Roman" w:eastAsia="仿宋_GB2312" w:cs="Times New Roman"/>
          <w:b w:val="0"/>
          <w:bCs w:val="0"/>
          <w:strike w:val="0"/>
          <w:color w:val="auto"/>
          <w:sz w:val="32"/>
          <w:szCs w:val="32"/>
          <w:highlight w:val="none"/>
          <w:lang w:val="en-US" w:eastAsia="zh-CN"/>
        </w:rPr>
        <w:t>康养旅游产业融合发展区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建设取得阶段性成果。</w:t>
      </w:r>
    </w:p>
    <w:p w14:paraId="00E28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2030年，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镇街综合养老服务中心标准化达标率达到100%，普惠支持型养老机构占比达到80%以上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养老机构护理型床位占比、养老护理员持证上岗率均保持90%以上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打造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海大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”“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七福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等2个以上银发经济服务品牌，争创2家以上全国示范性老年友好型社区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现代康养旅游产业体系初步建立，集聚一批有带动能力的龙头企业，打造一批有知名度的企业品牌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 w14:paraId="10B4427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责任单位：社会事业局、招商促进中心、卫生健康管理服务中心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）</w:t>
      </w:r>
    </w:p>
    <w:p w14:paraId="23A7A8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（2）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增强医疗健康服务能力。</w:t>
      </w:r>
    </w:p>
    <w:p w14:paraId="4FA8D2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做强核心医疗资源。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以威海海大医院为龙头，积极与省市三甲医院建立人才培养、双向转诊长效机制，加快建成急救创伤、胸痛、卒中三大中心。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推动威海美年大健康转型全生命周期健康管理，落地AI智能体检、专项慢病早筛等项目，构建 “筛—管—诊—保” 一体化健康服务闭环。</w:t>
      </w:r>
      <w:r>
        <w:rPr>
          <w:rFonts w:hint="eastAsia" w:ascii="Times New Roman" w:hAnsi="Times New Roman" w:eastAsia="仿宋_GB2312" w:cs="Times New Roman"/>
          <w:b w:val="0"/>
          <w:bCs w:val="0"/>
          <w:strike w:val="0"/>
          <w:color w:val="auto"/>
          <w:sz w:val="32"/>
          <w:szCs w:val="32"/>
          <w:highlight w:val="none"/>
          <w:lang w:val="en-US" w:eastAsia="zh-CN"/>
        </w:rPr>
        <w:t>加强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与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威海市中医院南院区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合作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，深化中医特色诊疗服务供给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提升基层服务质效。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统筹实施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基层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医疗卫生服务能力提质提效行动，</w:t>
      </w:r>
      <w:r>
        <w:rPr>
          <w:rFonts w:ascii="仿宋_GB2312" w:eastAsia="仿宋_GB2312" w:cs="仿宋_GB2312"/>
          <w:color w:val="000000"/>
          <w:sz w:val="31"/>
          <w:szCs w:val="31"/>
        </w:rPr>
        <w:t>支持基层医疗卫生机构特色科室发展，</w:t>
      </w:r>
      <w:r>
        <w:rPr>
          <w:rFonts w:hint="default" w:ascii="Times New Roman" w:hAnsi="Times New Roman" w:eastAsia="仿宋_GB2312" w:cs="Times New Roman"/>
          <w:b w:val="0"/>
          <w:bCs w:val="0"/>
          <w:strike w:val="0"/>
          <w:color w:val="auto"/>
          <w:kern w:val="2"/>
          <w:sz w:val="32"/>
          <w:szCs w:val="32"/>
          <w:highlight w:val="none"/>
          <w:lang w:val="en-US" w:eastAsia="zh-CN" w:bidi="ar-SA"/>
        </w:rPr>
        <w:t>增设儿科、口腔、康复等特色科室</w:t>
      </w:r>
      <w:r>
        <w:rPr>
          <w:rFonts w:hint="eastAsia" w:ascii="Times New Roman" w:hAnsi="Times New Roman" w:eastAsia="仿宋_GB2312" w:cs="Times New Roman"/>
          <w:b w:val="0"/>
          <w:bCs w:val="0"/>
          <w:strike w:val="0"/>
          <w:color w:val="auto"/>
          <w:kern w:val="2"/>
          <w:sz w:val="32"/>
          <w:szCs w:val="32"/>
          <w:highlight w:val="none"/>
          <w:lang w:val="en-US" w:eastAsia="zh-CN" w:bidi="ar-SA"/>
        </w:rPr>
        <w:t>，加快</w:t>
      </w:r>
      <w:r>
        <w:rPr>
          <w:rFonts w:ascii="仿宋_GB2312" w:eastAsia="仿宋_GB2312" w:cs="仿宋_GB2312"/>
          <w:color w:val="000000"/>
          <w:sz w:val="31"/>
          <w:szCs w:val="31"/>
        </w:rPr>
        <w:t>基层医疗卫生机构中医馆、中医阁内涵建设</w:t>
      </w:r>
      <w:r>
        <w:rPr>
          <w:rFonts w:hint="eastAsia" w:ascii="仿宋_GB2312" w:eastAsia="仿宋_GB2312" w:cs="仿宋_GB2312"/>
          <w:color w:val="000000"/>
          <w:sz w:val="31"/>
          <w:szCs w:val="31"/>
          <w:lang w:eastAsia="zh-CN"/>
        </w:rPr>
        <w:t>，</w:t>
      </w:r>
      <w:r>
        <w:rPr>
          <w:rFonts w:ascii="仿宋_GB2312" w:hAnsi="宋体" w:eastAsia="仿宋_GB2312" w:cs="仿宋_GB2312"/>
          <w:color w:val="000000"/>
          <w:sz w:val="31"/>
          <w:szCs w:val="31"/>
          <w:lang w:eastAsia="zh-CN"/>
        </w:rPr>
        <w:t>丰富针灸、推拿、康复理疗等特色服务</w:t>
      </w:r>
      <w:r>
        <w:rPr>
          <w:rFonts w:hint="default" w:ascii="Times New Roman" w:hAnsi="Times New Roman" w:eastAsia="仿宋_GB2312" w:cs="Times New Roman"/>
          <w:b w:val="0"/>
          <w:bCs w:val="0"/>
          <w:strike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常态化推进专家下沉坐诊、查房带教与技术指导，打通医护人员双向流动渠道，搭建医联体健康数据共享平台。做实重点人群健康管理，优化家庭医生个性化签约服务，2030年实现全人群签约覆盖率超70%。</w:t>
      </w:r>
    </w:p>
    <w:p w14:paraId="3FF0198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2028年，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医联体内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建成转会诊、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医学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影像、心电、检验四大共享中心，建成1处儿童特色社区卫生服务中心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strike w:val="0"/>
          <w:color w:val="auto"/>
          <w:kern w:val="2"/>
          <w:sz w:val="32"/>
          <w:szCs w:val="32"/>
          <w:highlight w:val="none"/>
          <w:lang w:val="en-US" w:eastAsia="zh-CN" w:bidi="ar-SA"/>
        </w:rPr>
        <w:t>镇卫生院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194FEEF1">
      <w:pPr>
        <w:pStyle w:val="1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beforeLines="0" w:line="560" w:lineRule="exact"/>
        <w:ind w:left="0" w:leftChars="0" w:firstLine="640"/>
        <w:jc w:val="both"/>
        <w:textAlignment w:val="auto"/>
        <w:rPr>
          <w:rFonts w:ascii="Times New Roman" w:hAnsi="Times New Roman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2030年，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每千人口拥有执业（助理）医师数达到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3.9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人、注册护士数</w:t>
      </w:r>
      <w:r>
        <w:rPr>
          <w:rFonts w:hint="eastAsia" w:ascii="Times New Roman" w:hAnsi="Times New Roman" w:eastAsia="仿宋_GB2312" w:cs="Times New Roman"/>
          <w:strike w:val="0"/>
          <w:color w:val="auto"/>
          <w:kern w:val="2"/>
          <w:sz w:val="32"/>
          <w:szCs w:val="32"/>
          <w:highlight w:val="none"/>
          <w:lang w:val="en-US" w:eastAsia="zh-CN"/>
        </w:rPr>
        <w:t>4.5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人。</w:t>
      </w:r>
      <w:r>
        <w:rPr>
          <w:rFonts w:ascii="Times New Roman" w:hAnsi="Times New Roman" w:cs="Times New Roman"/>
          <w:lang w:eastAsia="zh-CN"/>
        </w:rPr>
        <w:t>3处基层医疗机构达到“优质服务基层行”推荐标准，至少建成1处社区医院，村卫生室“五有三提升”全覆盖，医保门诊统筹联网结算率100%。</w:t>
      </w:r>
    </w:p>
    <w:p w14:paraId="41266B6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/>
          <w:color w:val="auto"/>
          <w:highlight w:val="none"/>
          <w:lang w:eastAsia="zh-CN"/>
        </w:rPr>
      </w:pP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责任单位：卫生健康管理服务中心</w:t>
      </w: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）</w:t>
      </w:r>
    </w:p>
    <w:p w14:paraId="266ECDF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（3）提高托育普惠水平。</w:t>
      </w:r>
    </w:p>
    <w:p w14:paraId="64A856B8">
      <w:pPr>
        <w:pStyle w:val="3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/>
          <w:color w:val="auto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"/>
        </w:rPr>
        <w:t>扩容普惠托育供给，推动幼儿园开设托班，鼓励企业配套建设托育点，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"/>
        </w:rPr>
        <w:t>优化“向日葵亲子小屋”布局，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"/>
        </w:rPr>
        <w:t>推广互助托育模式，丰富临时托、计时托等便民服务。依托市级托育综合服务中心，打造养育、教育、科研、健康、娱乐“五位一体”托育综合体，形成标准化运营范式，全面构建</w:t>
      </w:r>
      <w:r>
        <w:rPr>
          <w:rFonts w:hint="default"/>
          <w:color w:val="auto"/>
          <w:lang w:val="en-US" w:eastAsia="zh-CN"/>
        </w:rPr>
        <w:t>“政府主导、普惠为主、托幼一体、医育结合、育教融合</w:t>
      </w:r>
      <w:r>
        <w:rPr>
          <w:rFonts w:hint="eastAsia"/>
          <w:color w:val="auto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"/>
        </w:rPr>
        <w:t>的儿童关爱体系，打造全市普惠托育高质量发展标杆</w:t>
      </w:r>
      <w:r>
        <w:rPr>
          <w:rFonts w:hint="eastAsia" w:cs="Times New Roman"/>
          <w:color w:val="auto"/>
          <w:kern w:val="2"/>
          <w:sz w:val="32"/>
          <w:szCs w:val="32"/>
          <w:highlight w:val="none"/>
          <w:lang w:val="en-US" w:eastAsia="zh-CN" w:bidi="ar"/>
        </w:rPr>
        <w:t>。</w:t>
      </w:r>
      <w:r>
        <w:rPr>
          <w:rFonts w:hint="default"/>
          <w:color w:val="auto"/>
          <w:lang w:val="en-US" w:eastAsia="zh-CN"/>
        </w:rPr>
        <w:t>支持儿童福利机构为有需求的残疾儿童提供养护、康复、特教</w:t>
      </w:r>
      <w:r>
        <w:rPr>
          <w:rFonts w:hint="eastAsia"/>
          <w:color w:val="auto"/>
          <w:lang w:val="en-US" w:eastAsia="zh-CN"/>
        </w:rPr>
        <w:t>等服务。</w:t>
      </w:r>
    </w:p>
    <w:p w14:paraId="31A1B1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2028年，每千人口3岁以下婴幼儿托位数稳定5.1个以上，普惠托位占比超60%，实现镇街托育服务全覆盖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托育机构备案率超95%。</w:t>
      </w:r>
    </w:p>
    <w:p w14:paraId="6FBA2D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2030年，建成完善的婴幼儿照护服务体系，入托率提升6.5个百分点，实现普惠托育服务全面覆盖。</w:t>
      </w:r>
    </w:p>
    <w:p w14:paraId="1B67748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（</w:t>
      </w:r>
      <w:r>
        <w:rPr>
          <w:rFonts w:hint="eastAsia" w:ascii="楷体" w:hAnsi="楷体" w:eastAsia="楷体" w:cs="楷体"/>
          <w:color w:val="auto"/>
          <w:highlight w:val="none"/>
          <w:lang w:val="en-US" w:eastAsia="zh-CN"/>
        </w:rPr>
        <w:t>责任单位：卫生健康管理服务中心</w:t>
      </w:r>
      <w:r>
        <w:rPr>
          <w:rFonts w:hint="eastAsia"/>
          <w:color w:val="auto"/>
          <w:highlight w:val="none"/>
          <w:lang w:val="en-US" w:eastAsia="zh-CN"/>
        </w:rPr>
        <w:t>）</w:t>
      </w:r>
    </w:p>
    <w:p w14:paraId="3A5167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丰富文旅休闲品质服务。</w:t>
      </w:r>
    </w:p>
    <w:p w14:paraId="4FF057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（1）做大做强旅游产业。</w:t>
      </w:r>
    </w:p>
    <w:p w14:paraId="7D13D9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优化文旅产业布局。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塑强滨海康养度假产业带，推进711旅游综合体开发运营，升级8公里新文旅海岸，打造近海高端游、海钓公园等爆款产品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依托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康养旅游产业融合发展区建设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，导入医养康养业态，完善旅游配套，落地逍遥湖水上运动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项目，打造国际滨海康养目的地。差异化打造潮流消费街区，植入沉浸演艺、数字娱乐、首店经济等业态，构建青年潮流消费与游客夜生活核心目的地。整合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摩天岭、龙山湖等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山海资源打造近郊慢游生活圈，串联滨海休闲、潮玩露营、乡村拾趣、夜游消费四大精品线路，培育农旅、研学、体育融合新业态，打造区域研学旅行标杆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创新全域引流营销。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依托国家级夜间文旅集聚区金字招牌，统筹国企、街区、景区、市场主体资源，提档升级韩乐坊、九龙城商圈业态，激活焕新华发新天地商业活力与人气，系统谋划站前商圈建设运营，持续丰富多元消费场景，全年举办80场以上文体文旅主题活动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。强化与OTA平台、新媒体平台合作，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推出大麦66LIVEHOUSE演艺业态，推动非遗、文创进商圈景区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深化省内客源互通，深耕韩国入境文旅市场，扩大跨境文旅规模。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培育新型消费场景。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鼓励发展云演艺、沉浸式体验等新业态，引育龙头文娱企业，推动文娱场所提质升级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打造文旅餐饮融合演艺新空间，规范艺术培训市场，培育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华耀等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本土特色品牌。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提升文旅服务品质。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优化全域旅游交通与配套设施，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新增公路驿站、旅游停车泊位等。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搭建智慧文旅服务平台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健全涉旅诉求闭环处置与舆情监测机制，常态化开展行业专项整治与安全隐患排查，提升行业精细化运营服务水平。</w:t>
      </w:r>
    </w:p>
    <w:p w14:paraId="5285E30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2028年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接待游客突破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2000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万人次，实现旅游综合收入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120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亿元。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“逍遥目的地·青春经开区”文旅品牌</w:t>
      </w:r>
      <w:r>
        <w:rPr>
          <w:rFonts w:hint="default" w:ascii="Times New Roman" w:hAnsi="Times New Roman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更加响亮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，国家级夜间文旅消费集聚区、国际滨海旅游度假</w:t>
      </w:r>
      <w:r>
        <w:rPr>
          <w:rFonts w:hint="default" w:ascii="Times New Roman" w:hAnsi="Times New Roman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目的地品牌更具影响力。</w:t>
      </w:r>
    </w:p>
    <w:p w14:paraId="475A38D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after="0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2030年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接待游客突破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2200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万人次，实现旅游综合收入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135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亿元。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培育一批省市级文旅融合、乡村旅游、自驾旅游示范载体，建成区域文旅引流核心枢纽。</w:t>
      </w:r>
    </w:p>
    <w:p w14:paraId="5D2C2E28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after="0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楷体" w:hAnsi="楷体" w:eastAsia="楷体" w:cs="楷体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责任单位：文化旅游服务中心</w:t>
      </w:r>
      <w:r>
        <w:rPr>
          <w:rFonts w:hint="eastAsia" w:ascii="Times New Roman" w:hAnsi="Times New Roman" w:cs="Times New Roman"/>
          <w:b w:val="0"/>
          <w:bCs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）</w:t>
      </w:r>
    </w:p>
    <w:p w14:paraId="7E6FED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（2）创新发展体育服务。</w:t>
      </w:r>
    </w:p>
    <w:p w14:paraId="0DB126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夯实体育产业发展基础，丰富全民健身、社区运动会等活动，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办好各类品牌赛事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发展票根经济，整合住宿餐饮等消费场景，推动赛事与商圈、景区、特色街区深度融合，努力将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赛事流量转化为产业增量。规范体育市场经营秩序，强化行业自律管理，营造公平有序的产业发展生态。</w:t>
      </w:r>
    </w:p>
    <w:p w14:paraId="654AE9B5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2028年，培育1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-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2项具有区域影响力的品牌赛事，赛事经济效应初步显现，依托中韩交流优势打造特色体育旅游项目。</w:t>
      </w:r>
    </w:p>
    <w:p w14:paraId="14611554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2030年，体育产业总规模实现翻番，培育形成5家以上具有较强市场竞争力的骨干体育企业，体育消费占居民人均可支配收入比重显著提升。</w:t>
      </w:r>
    </w:p>
    <w:p w14:paraId="7FEC5BE6">
      <w:pPr>
        <w:pStyle w:val="1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责任单位：教育体育服务中心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）</w:t>
      </w:r>
    </w:p>
    <w:p w14:paraId="79CAB5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eastAsia="zh-CN"/>
        </w:rPr>
        <w:t>四、保障措施</w:t>
      </w:r>
    </w:p>
    <w:p w14:paraId="0D3BD5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加强组织领导。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充分发挥经开区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服务业发展工作专班总揽全局、统筹协调、督导落实的核心作用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立足全区服务业发展整体规划与年度重点任务，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及时协调推进落实重大政策、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研究重大事项，每半年调度工作进展，保障各项工作有序推进。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建立服务业产业链链长制工作机制，由党工委主要领导担任总链长，分管经济工作的领导担任副总链长，其他分管领导担任链长，部门主要负责人担任副链长，“一链一策”推动14条服务业产业链协同发展。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各行业主管部门严格落实主体责任，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按照工作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目标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计划，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结合各自行业职能职责与领域发展实际，逐项分解工作任务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明确相关责任主体和完成时限，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确保各项目标任务落实落地。</w:t>
      </w:r>
    </w:p>
    <w:p w14:paraId="6A2EB3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2.抓好招商引资。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坚持以招商引资赋能服务业高质量发展，深入贯彻落实省“像抓工业一样抓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服务业”工作部署，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将服务业招商引资摆在全区招商工作突出位置，全面纳入全区招商引资总体工作体系，与工业招商同部署、同推进、同考核、同落实。立足全区产业发展基础和资源禀赋，实行“优势产业提质、短板产业补链”双向招商策略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一方面，聚焦跨境物流、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商务服务、网上贸易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等优势特色服务业，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大力开展产业链招商、以商招商、平台招商，持续延链补链强链，不断壮大优势产业体量、提升产业集聚能级，打造区域特色服务业发展标杆。另一方面，紧盯区域产业配套和民生服务短板，聚焦软件信息、仓储物流、生活服务等薄弱领域，精准摸排行业发展缺口，系统梳理招商需求，细化完善服务业“补短板”招商重点目录、年度招商计划和阶段性工作任务，靶向开展精准招引，完善服务业生态体系。智慧谷要依托园区空间与资源集成优势，明确创新性企业的专项扶持导向，建立企业服务专员制度，对重点企业、重点项目、重点平台实行清单化管理、节点化推进、闭环式落实，打造创新性企业集聚示范区，持续放大政策洼地效应。同时，健全服务业招商引资考核</w:t>
      </w:r>
    </w:p>
    <w:p w14:paraId="7594CD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机制，细化量化招商考核指标，压实招商工作责任，凝聚全员招商、全域招商、全程服务的强大工作合力。每年引进培育服务业市场主体不少于50家。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完善省市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级服务业重点项目库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全生命周期服务机制，在项目谋划储备、前期推进、开工建设、投产运营各环节靠上服务，推动在建项目提速放量、储备项目提早开工，形成更多实物工作量。</w:t>
      </w:r>
    </w:p>
    <w:p w14:paraId="478C5D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</w:rPr>
        <w:t>强化政策支持。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好国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家、省市级服务业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奖励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政策，指导企业做好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各类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资金申报。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进一步拓宽服务业融资渠道，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充分发挥超长期特别国债、地方政府专项债、新型政策性金融工具等政策导向作用，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综合运用贷款贴息、项目补助、股权投资和担保等多种方式，引导风投、创投、私募基金等各阶段投资基金投向服务业。加强服务业发展用地保障，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在国土空间规划中统筹安排服务业用地，鼓励盘活存量土地和闲置资产用于服务业发展，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充分利用好长期租赁、先租后让、弹性年期供应等灵活供地方式，对确定为市级以上重点项目，优先给予支持。</w:t>
      </w:r>
    </w:p>
    <w:p w14:paraId="06DECA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仿宋_GB2312"/>
          <w:color w:val="auto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eastAsia="zh-CN"/>
        </w:rPr>
        <w:t>优化发展环境。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充分发挥智慧谷服务贸易产业园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韩乐坊国家级夜间文旅消费集聚区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康养旅游产业融合发展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区、临港现代物流产业园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等多元化平台载体资源禀赋，整合集聚科创服务、文旅消费、康养配套、物流供应链等优质资源，精准吸引上下游优质企业、高端项目、特色业态落地集聚。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各行业主管部门要进一步摸清行业底数和发展现状，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常态化开展好企业大走访活动，完善行业单位名录库、信息资料库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，健全行业发展的动态监测、形势分析等工作机制，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形成小升规、规壮大的梯次培育良好格局。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完善服务业重点领域统计方法和统计指标体系，针对重点领域和新兴产业趋势变化和异常波动，及时制定解决措施。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持续优化高效办成一件事，办好“企业家活动日·周五下午茶”等活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，搭建部门单位与企业沟通桥梁，推动惠企政策“直达快享”，助力企业冲击新目标。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依托教育部“春晖杯”留学人员创新创业威海基地，推动海外留学生项目落地孵化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。深化与山东交通学院、威海技师学院等院校产教融合，建立“订单班”“揭榜领题”等合作模式，为区域产业高质量发展提供人才保障。</w:t>
      </w:r>
      <w:r>
        <w:rPr>
          <w:rFonts w:hint="default" w:ascii="Times New Roman" w:hAnsi="Times New Roman" w:eastAsia="仿宋_GB2312" w:cs="仿宋_GB2312"/>
          <w:color w:val="auto"/>
          <w:spacing w:val="-6"/>
          <w:kern w:val="2"/>
          <w:sz w:val="32"/>
          <w:szCs w:val="32"/>
          <w:lang w:val="en-US" w:eastAsia="zh-CN" w:bidi="ar-SA"/>
        </w:rPr>
        <w:t>主动对接京津冀、长三角、粤港澳大湾区等国家战略，加强与中西部地区的产业协作和资源对接</w:t>
      </w:r>
      <w:r>
        <w:rPr>
          <w:rFonts w:hint="eastAsia" w:ascii="Times New Roman" w:hAnsi="Times New Roman" w:eastAsia="仿宋_GB2312" w:cs="仿宋_GB2312"/>
          <w:color w:val="auto"/>
          <w:spacing w:val="-6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仿宋_GB2312"/>
          <w:color w:val="auto"/>
          <w:spacing w:val="-6"/>
          <w:kern w:val="2"/>
          <w:sz w:val="32"/>
          <w:szCs w:val="32"/>
          <w:lang w:val="en-US" w:eastAsia="zh-CN" w:bidi="ar-SA"/>
        </w:rPr>
        <w:t>鼓励服务业企业参与国内外行业权威榜单排名及相关荣誉评选</w:t>
      </w:r>
      <w:r>
        <w:rPr>
          <w:rFonts w:hint="eastAsia" w:ascii="Times New Roman" w:hAnsi="Times New Roman" w:eastAsia="仿宋_GB2312" w:cs="仿宋_GB2312"/>
          <w:color w:val="auto"/>
          <w:spacing w:val="-6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仿宋_GB2312"/>
          <w:color w:val="auto"/>
          <w:spacing w:val="-6"/>
          <w:kern w:val="2"/>
          <w:sz w:val="32"/>
          <w:szCs w:val="32"/>
          <w:lang w:val="en-US" w:eastAsia="zh-CN" w:bidi="ar-SA"/>
        </w:rPr>
        <w:t>支持企业主导或参与各级标准制修订，通过兼并重组、业态创新等方式提升品牌影响力，培育一批拥有自主知识产权和核心竞争力的服务品牌。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940A86A-BE74-4A2E-90A2-2FA8288AF5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587D94C-2FF2-4B7C-8B3E-F4D09E0AAD3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378745D-E6EF-44DD-B6E2-0595BBF0942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E28DF4E-094F-449C-B11C-5497FA3C8DA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54817400-0967-4A95-96F9-6BB3AB2BDE2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06D98E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B7AF3A">
                          <w:pPr>
                            <w:pStyle w:val="7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B7AF3A">
                    <w:pPr>
                      <w:pStyle w:val="7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—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747B4"/>
    <w:rsid w:val="00202618"/>
    <w:rsid w:val="00D614CC"/>
    <w:rsid w:val="00D744CA"/>
    <w:rsid w:val="00DB20F7"/>
    <w:rsid w:val="00E764AF"/>
    <w:rsid w:val="00F55D01"/>
    <w:rsid w:val="010B6346"/>
    <w:rsid w:val="014C0EA4"/>
    <w:rsid w:val="01557A3F"/>
    <w:rsid w:val="01746C6F"/>
    <w:rsid w:val="017C78FF"/>
    <w:rsid w:val="01AF35D1"/>
    <w:rsid w:val="01B37CF7"/>
    <w:rsid w:val="01DA477F"/>
    <w:rsid w:val="02117DF2"/>
    <w:rsid w:val="022573A2"/>
    <w:rsid w:val="023F2554"/>
    <w:rsid w:val="02680801"/>
    <w:rsid w:val="02B35979"/>
    <w:rsid w:val="02DF1744"/>
    <w:rsid w:val="03107D15"/>
    <w:rsid w:val="03215A31"/>
    <w:rsid w:val="034667A6"/>
    <w:rsid w:val="03A27284"/>
    <w:rsid w:val="040205A2"/>
    <w:rsid w:val="04163446"/>
    <w:rsid w:val="045D434F"/>
    <w:rsid w:val="04654DC4"/>
    <w:rsid w:val="04683B20"/>
    <w:rsid w:val="046C392C"/>
    <w:rsid w:val="04C063D7"/>
    <w:rsid w:val="04C80939"/>
    <w:rsid w:val="04C924C0"/>
    <w:rsid w:val="04E62E18"/>
    <w:rsid w:val="051B1B9F"/>
    <w:rsid w:val="0539061F"/>
    <w:rsid w:val="05420F2F"/>
    <w:rsid w:val="054C183E"/>
    <w:rsid w:val="05A531D1"/>
    <w:rsid w:val="05AA7659"/>
    <w:rsid w:val="05B01908"/>
    <w:rsid w:val="05F4341F"/>
    <w:rsid w:val="06052E39"/>
    <w:rsid w:val="061C2065"/>
    <w:rsid w:val="06887047"/>
    <w:rsid w:val="0695635D"/>
    <w:rsid w:val="06BD2A2B"/>
    <w:rsid w:val="06BD6F8B"/>
    <w:rsid w:val="06F32E73"/>
    <w:rsid w:val="0703310E"/>
    <w:rsid w:val="072246AD"/>
    <w:rsid w:val="07387A9B"/>
    <w:rsid w:val="07AC17D1"/>
    <w:rsid w:val="07C073C2"/>
    <w:rsid w:val="07CE6877"/>
    <w:rsid w:val="07D77E17"/>
    <w:rsid w:val="07DA78EE"/>
    <w:rsid w:val="081751D4"/>
    <w:rsid w:val="08273270"/>
    <w:rsid w:val="08273684"/>
    <w:rsid w:val="0837350B"/>
    <w:rsid w:val="086502FE"/>
    <w:rsid w:val="0869175B"/>
    <w:rsid w:val="088038FF"/>
    <w:rsid w:val="08850B9A"/>
    <w:rsid w:val="088A7F5F"/>
    <w:rsid w:val="08BF22FE"/>
    <w:rsid w:val="08C83852"/>
    <w:rsid w:val="08E7715F"/>
    <w:rsid w:val="0903720E"/>
    <w:rsid w:val="09321337"/>
    <w:rsid w:val="09344FF2"/>
    <w:rsid w:val="09616558"/>
    <w:rsid w:val="09B24F76"/>
    <w:rsid w:val="09D241E9"/>
    <w:rsid w:val="09D92B0A"/>
    <w:rsid w:val="0A2B5038"/>
    <w:rsid w:val="0A3D172D"/>
    <w:rsid w:val="0A480AEB"/>
    <w:rsid w:val="0A6A4724"/>
    <w:rsid w:val="0A6B77AC"/>
    <w:rsid w:val="0A7315F2"/>
    <w:rsid w:val="0AAF0151"/>
    <w:rsid w:val="0ABA1F25"/>
    <w:rsid w:val="0ADE0567"/>
    <w:rsid w:val="0AFA761E"/>
    <w:rsid w:val="0B132723"/>
    <w:rsid w:val="0B1F76CB"/>
    <w:rsid w:val="0B493D92"/>
    <w:rsid w:val="0B5D4FB1"/>
    <w:rsid w:val="0BC47C2C"/>
    <w:rsid w:val="0BE0558A"/>
    <w:rsid w:val="0BF254A5"/>
    <w:rsid w:val="0C2624C5"/>
    <w:rsid w:val="0C614F5B"/>
    <w:rsid w:val="0C6F1945"/>
    <w:rsid w:val="0C8D4217"/>
    <w:rsid w:val="0CB258E3"/>
    <w:rsid w:val="0CD028DF"/>
    <w:rsid w:val="0CE43B33"/>
    <w:rsid w:val="0D1D4F92"/>
    <w:rsid w:val="0D1E790F"/>
    <w:rsid w:val="0D3F756A"/>
    <w:rsid w:val="0D5972D7"/>
    <w:rsid w:val="0DBE4B1B"/>
    <w:rsid w:val="0DC30FA3"/>
    <w:rsid w:val="0E1E25B6"/>
    <w:rsid w:val="0E1F195D"/>
    <w:rsid w:val="0E3A1EE7"/>
    <w:rsid w:val="0E46377B"/>
    <w:rsid w:val="0E513EEF"/>
    <w:rsid w:val="0E565F93"/>
    <w:rsid w:val="0E583695"/>
    <w:rsid w:val="0E656992"/>
    <w:rsid w:val="0E7819CB"/>
    <w:rsid w:val="0EA43155"/>
    <w:rsid w:val="0EAB569D"/>
    <w:rsid w:val="0EC1061B"/>
    <w:rsid w:val="0EDB61ED"/>
    <w:rsid w:val="0EF5261A"/>
    <w:rsid w:val="0F275267"/>
    <w:rsid w:val="0F303BB7"/>
    <w:rsid w:val="0F457E1A"/>
    <w:rsid w:val="0F5E3B2A"/>
    <w:rsid w:val="0F5E61BB"/>
    <w:rsid w:val="0F806573"/>
    <w:rsid w:val="0F840C04"/>
    <w:rsid w:val="0F927F1A"/>
    <w:rsid w:val="0F9D0EBF"/>
    <w:rsid w:val="0FC07764"/>
    <w:rsid w:val="0FDA3975"/>
    <w:rsid w:val="100833DB"/>
    <w:rsid w:val="10204BDD"/>
    <w:rsid w:val="10337AA3"/>
    <w:rsid w:val="104841C5"/>
    <w:rsid w:val="1057106E"/>
    <w:rsid w:val="10907E3C"/>
    <w:rsid w:val="109777C7"/>
    <w:rsid w:val="10C36704"/>
    <w:rsid w:val="10C73EC4"/>
    <w:rsid w:val="10E26DE2"/>
    <w:rsid w:val="10E55348"/>
    <w:rsid w:val="10EF0BD5"/>
    <w:rsid w:val="10FA61E7"/>
    <w:rsid w:val="11021117"/>
    <w:rsid w:val="110F618C"/>
    <w:rsid w:val="114D5A72"/>
    <w:rsid w:val="11584002"/>
    <w:rsid w:val="11714F2C"/>
    <w:rsid w:val="118630D0"/>
    <w:rsid w:val="11954C64"/>
    <w:rsid w:val="12106795"/>
    <w:rsid w:val="123C0392"/>
    <w:rsid w:val="12A51AA6"/>
    <w:rsid w:val="12AE4934"/>
    <w:rsid w:val="12D70831"/>
    <w:rsid w:val="12F108A0"/>
    <w:rsid w:val="12F7022B"/>
    <w:rsid w:val="132248F2"/>
    <w:rsid w:val="132C18C7"/>
    <w:rsid w:val="13372E6B"/>
    <w:rsid w:val="134E0C3A"/>
    <w:rsid w:val="135B0B05"/>
    <w:rsid w:val="13640BDF"/>
    <w:rsid w:val="13702473"/>
    <w:rsid w:val="13B646ED"/>
    <w:rsid w:val="13DC75A4"/>
    <w:rsid w:val="14197409"/>
    <w:rsid w:val="141B4B0A"/>
    <w:rsid w:val="142D60AA"/>
    <w:rsid w:val="14935A4E"/>
    <w:rsid w:val="149931DA"/>
    <w:rsid w:val="149F50E4"/>
    <w:rsid w:val="14BC12B7"/>
    <w:rsid w:val="14E629C1"/>
    <w:rsid w:val="15151C91"/>
    <w:rsid w:val="152662C1"/>
    <w:rsid w:val="15541DBE"/>
    <w:rsid w:val="15545D55"/>
    <w:rsid w:val="155B5497"/>
    <w:rsid w:val="157156FC"/>
    <w:rsid w:val="15724781"/>
    <w:rsid w:val="15B910B3"/>
    <w:rsid w:val="16303DCB"/>
    <w:rsid w:val="163141F5"/>
    <w:rsid w:val="16907A92"/>
    <w:rsid w:val="16B71ED0"/>
    <w:rsid w:val="16D93709"/>
    <w:rsid w:val="16F969DB"/>
    <w:rsid w:val="170B0CC5"/>
    <w:rsid w:val="170B7556"/>
    <w:rsid w:val="171D6872"/>
    <w:rsid w:val="171F3E7E"/>
    <w:rsid w:val="17356021"/>
    <w:rsid w:val="173D57C7"/>
    <w:rsid w:val="175233D3"/>
    <w:rsid w:val="1757785B"/>
    <w:rsid w:val="17892228"/>
    <w:rsid w:val="17E470BF"/>
    <w:rsid w:val="1807637A"/>
    <w:rsid w:val="182F1ABD"/>
    <w:rsid w:val="18597B12"/>
    <w:rsid w:val="187A66B9"/>
    <w:rsid w:val="188350F6"/>
    <w:rsid w:val="18DB5458"/>
    <w:rsid w:val="18F56002"/>
    <w:rsid w:val="191E5B42"/>
    <w:rsid w:val="191F71E3"/>
    <w:rsid w:val="19660AF3"/>
    <w:rsid w:val="19781E82"/>
    <w:rsid w:val="1993036C"/>
    <w:rsid w:val="19AA7030"/>
    <w:rsid w:val="1A475CB0"/>
    <w:rsid w:val="1A8B6099"/>
    <w:rsid w:val="1AA93A9E"/>
    <w:rsid w:val="1AC15E95"/>
    <w:rsid w:val="1ADD5EA3"/>
    <w:rsid w:val="1AF509C8"/>
    <w:rsid w:val="1B415B07"/>
    <w:rsid w:val="1B593337"/>
    <w:rsid w:val="1B5B2EEE"/>
    <w:rsid w:val="1B797F1F"/>
    <w:rsid w:val="1B8004E5"/>
    <w:rsid w:val="1B8D059E"/>
    <w:rsid w:val="1BAC5276"/>
    <w:rsid w:val="1BC06956"/>
    <w:rsid w:val="1BF9122C"/>
    <w:rsid w:val="1C235C38"/>
    <w:rsid w:val="1C2F6749"/>
    <w:rsid w:val="1C411EE7"/>
    <w:rsid w:val="1C556EED"/>
    <w:rsid w:val="1C5A616E"/>
    <w:rsid w:val="1C755A82"/>
    <w:rsid w:val="1C931CF1"/>
    <w:rsid w:val="1CA13205"/>
    <w:rsid w:val="1CA20C86"/>
    <w:rsid w:val="1CE11F98"/>
    <w:rsid w:val="1D8C4487"/>
    <w:rsid w:val="1DBD4C56"/>
    <w:rsid w:val="1DCA5BF0"/>
    <w:rsid w:val="1E012619"/>
    <w:rsid w:val="1E0B27D7"/>
    <w:rsid w:val="1E1A0873"/>
    <w:rsid w:val="1E5828D6"/>
    <w:rsid w:val="1E5E15D0"/>
    <w:rsid w:val="1E873426"/>
    <w:rsid w:val="1ED0129B"/>
    <w:rsid w:val="1EE95BF3"/>
    <w:rsid w:val="1EF075D2"/>
    <w:rsid w:val="1F0C1276"/>
    <w:rsid w:val="1F283C0B"/>
    <w:rsid w:val="1F3871E4"/>
    <w:rsid w:val="1F643D0D"/>
    <w:rsid w:val="1FA75A7B"/>
    <w:rsid w:val="1FB43DE7"/>
    <w:rsid w:val="1FB4637E"/>
    <w:rsid w:val="1FB73B17"/>
    <w:rsid w:val="1FC17DF2"/>
    <w:rsid w:val="1FD06C40"/>
    <w:rsid w:val="1FEF002B"/>
    <w:rsid w:val="20415C7A"/>
    <w:rsid w:val="2048438B"/>
    <w:rsid w:val="20BF60F4"/>
    <w:rsid w:val="20CD585E"/>
    <w:rsid w:val="20D21CE6"/>
    <w:rsid w:val="20F26A8C"/>
    <w:rsid w:val="211A595D"/>
    <w:rsid w:val="21274A8D"/>
    <w:rsid w:val="213351E0"/>
    <w:rsid w:val="21407D9B"/>
    <w:rsid w:val="216F2E69"/>
    <w:rsid w:val="217911FA"/>
    <w:rsid w:val="21A93F47"/>
    <w:rsid w:val="21CF4187"/>
    <w:rsid w:val="221E7789"/>
    <w:rsid w:val="22230DB0"/>
    <w:rsid w:val="222A65E3"/>
    <w:rsid w:val="22361439"/>
    <w:rsid w:val="2263555C"/>
    <w:rsid w:val="22725F9C"/>
    <w:rsid w:val="227C1D21"/>
    <w:rsid w:val="22B1777E"/>
    <w:rsid w:val="22C05F11"/>
    <w:rsid w:val="22DC416B"/>
    <w:rsid w:val="22EC5646"/>
    <w:rsid w:val="22F112BF"/>
    <w:rsid w:val="22F66168"/>
    <w:rsid w:val="22F870EC"/>
    <w:rsid w:val="23152DEF"/>
    <w:rsid w:val="23235E65"/>
    <w:rsid w:val="232748D0"/>
    <w:rsid w:val="23386ADD"/>
    <w:rsid w:val="234207E5"/>
    <w:rsid w:val="23C715BB"/>
    <w:rsid w:val="23D34F59"/>
    <w:rsid w:val="23F943DC"/>
    <w:rsid w:val="24435E0A"/>
    <w:rsid w:val="244B2840"/>
    <w:rsid w:val="2451792E"/>
    <w:rsid w:val="24585DAF"/>
    <w:rsid w:val="247F5815"/>
    <w:rsid w:val="2487307B"/>
    <w:rsid w:val="25702FF9"/>
    <w:rsid w:val="258A7AA3"/>
    <w:rsid w:val="25916DB0"/>
    <w:rsid w:val="25B8396A"/>
    <w:rsid w:val="25C11AFE"/>
    <w:rsid w:val="25D725DE"/>
    <w:rsid w:val="2602658B"/>
    <w:rsid w:val="260470EF"/>
    <w:rsid w:val="260C0C79"/>
    <w:rsid w:val="26234121"/>
    <w:rsid w:val="262772A4"/>
    <w:rsid w:val="26290229"/>
    <w:rsid w:val="26357304"/>
    <w:rsid w:val="263C68E5"/>
    <w:rsid w:val="264A075D"/>
    <w:rsid w:val="266863F9"/>
    <w:rsid w:val="2670099D"/>
    <w:rsid w:val="269A17E1"/>
    <w:rsid w:val="26E108F0"/>
    <w:rsid w:val="26E718E0"/>
    <w:rsid w:val="26EE0F6E"/>
    <w:rsid w:val="26F92E80"/>
    <w:rsid w:val="27171664"/>
    <w:rsid w:val="27295BCD"/>
    <w:rsid w:val="27547D16"/>
    <w:rsid w:val="275E0626"/>
    <w:rsid w:val="276A1EBA"/>
    <w:rsid w:val="27834DF5"/>
    <w:rsid w:val="27AF712B"/>
    <w:rsid w:val="27B2482C"/>
    <w:rsid w:val="27CD08D9"/>
    <w:rsid w:val="2808303D"/>
    <w:rsid w:val="281C5DED"/>
    <w:rsid w:val="283946CF"/>
    <w:rsid w:val="28D63A63"/>
    <w:rsid w:val="28F22C3A"/>
    <w:rsid w:val="28FD484F"/>
    <w:rsid w:val="28FF1C68"/>
    <w:rsid w:val="28FF44CE"/>
    <w:rsid w:val="291B0A33"/>
    <w:rsid w:val="2923120B"/>
    <w:rsid w:val="298C5FF3"/>
    <w:rsid w:val="299E0B55"/>
    <w:rsid w:val="29B238F6"/>
    <w:rsid w:val="29C46245"/>
    <w:rsid w:val="29DA2F38"/>
    <w:rsid w:val="29DA5136"/>
    <w:rsid w:val="29F145BE"/>
    <w:rsid w:val="2A141E18"/>
    <w:rsid w:val="2A15789A"/>
    <w:rsid w:val="2A3A2C55"/>
    <w:rsid w:val="2A755B80"/>
    <w:rsid w:val="2A997AF3"/>
    <w:rsid w:val="2AA42CAA"/>
    <w:rsid w:val="2AAC4B5F"/>
    <w:rsid w:val="2AB4611E"/>
    <w:rsid w:val="2ADA635E"/>
    <w:rsid w:val="2AEA2D75"/>
    <w:rsid w:val="2AFD3F94"/>
    <w:rsid w:val="2B8509F5"/>
    <w:rsid w:val="2BC7145E"/>
    <w:rsid w:val="2BD57710"/>
    <w:rsid w:val="2BE46810"/>
    <w:rsid w:val="2BEA0719"/>
    <w:rsid w:val="2C055737"/>
    <w:rsid w:val="2C164A61"/>
    <w:rsid w:val="2C2C7301"/>
    <w:rsid w:val="2C8D3800"/>
    <w:rsid w:val="2CDE44AA"/>
    <w:rsid w:val="2D1F05C8"/>
    <w:rsid w:val="2D847102"/>
    <w:rsid w:val="2D86740D"/>
    <w:rsid w:val="2D8A23C4"/>
    <w:rsid w:val="2DA11FE9"/>
    <w:rsid w:val="2DA90D03"/>
    <w:rsid w:val="2DAE59A3"/>
    <w:rsid w:val="2DC33823"/>
    <w:rsid w:val="2DF14D73"/>
    <w:rsid w:val="2E0D299D"/>
    <w:rsid w:val="2E3502DE"/>
    <w:rsid w:val="2E6425A6"/>
    <w:rsid w:val="2E65302C"/>
    <w:rsid w:val="2E767899"/>
    <w:rsid w:val="2E770D48"/>
    <w:rsid w:val="2E7E49CF"/>
    <w:rsid w:val="2E897D68"/>
    <w:rsid w:val="2E9402F8"/>
    <w:rsid w:val="2EB76F86"/>
    <w:rsid w:val="2EEA3285"/>
    <w:rsid w:val="2EEC3775"/>
    <w:rsid w:val="2EF6291B"/>
    <w:rsid w:val="2F0F5A43"/>
    <w:rsid w:val="2F162F3F"/>
    <w:rsid w:val="2F174431"/>
    <w:rsid w:val="2F2910B8"/>
    <w:rsid w:val="2F305F78"/>
    <w:rsid w:val="2F4070C9"/>
    <w:rsid w:val="2F5F53F2"/>
    <w:rsid w:val="2F6B035B"/>
    <w:rsid w:val="2F92601C"/>
    <w:rsid w:val="2F96119F"/>
    <w:rsid w:val="2FD44507"/>
    <w:rsid w:val="300936DD"/>
    <w:rsid w:val="3013536D"/>
    <w:rsid w:val="302C34A7"/>
    <w:rsid w:val="30742D8C"/>
    <w:rsid w:val="30C32F43"/>
    <w:rsid w:val="30CB379B"/>
    <w:rsid w:val="30DD208C"/>
    <w:rsid w:val="30E107B4"/>
    <w:rsid w:val="30ED4FD4"/>
    <w:rsid w:val="31065B0E"/>
    <w:rsid w:val="310832AF"/>
    <w:rsid w:val="313A37AA"/>
    <w:rsid w:val="31402441"/>
    <w:rsid w:val="315848AB"/>
    <w:rsid w:val="31586882"/>
    <w:rsid w:val="31592105"/>
    <w:rsid w:val="31AF1CFD"/>
    <w:rsid w:val="31B02B14"/>
    <w:rsid w:val="31C07C49"/>
    <w:rsid w:val="31FD3BE4"/>
    <w:rsid w:val="32193F7E"/>
    <w:rsid w:val="321D3148"/>
    <w:rsid w:val="3236068C"/>
    <w:rsid w:val="324D1679"/>
    <w:rsid w:val="329F6B99"/>
    <w:rsid w:val="32CE449C"/>
    <w:rsid w:val="32FA790B"/>
    <w:rsid w:val="330C174B"/>
    <w:rsid w:val="332350B4"/>
    <w:rsid w:val="33334E8E"/>
    <w:rsid w:val="334F1DB7"/>
    <w:rsid w:val="335D0E90"/>
    <w:rsid w:val="336359DD"/>
    <w:rsid w:val="33696C2C"/>
    <w:rsid w:val="336D4581"/>
    <w:rsid w:val="336E5F6C"/>
    <w:rsid w:val="33CA2E03"/>
    <w:rsid w:val="340069D8"/>
    <w:rsid w:val="34156745"/>
    <w:rsid w:val="342D0627"/>
    <w:rsid w:val="344835C0"/>
    <w:rsid w:val="34C3689E"/>
    <w:rsid w:val="34CA1AAC"/>
    <w:rsid w:val="35051A73"/>
    <w:rsid w:val="354E4284"/>
    <w:rsid w:val="355D101B"/>
    <w:rsid w:val="35612062"/>
    <w:rsid w:val="3578327F"/>
    <w:rsid w:val="35D344DD"/>
    <w:rsid w:val="361B0154"/>
    <w:rsid w:val="3653763E"/>
    <w:rsid w:val="366A7ED3"/>
    <w:rsid w:val="367B39F1"/>
    <w:rsid w:val="368E0F22"/>
    <w:rsid w:val="36BD4831"/>
    <w:rsid w:val="36C62A73"/>
    <w:rsid w:val="36D030FB"/>
    <w:rsid w:val="36EA1AA7"/>
    <w:rsid w:val="36F12547"/>
    <w:rsid w:val="3763266A"/>
    <w:rsid w:val="3790083E"/>
    <w:rsid w:val="37F605EC"/>
    <w:rsid w:val="38045A76"/>
    <w:rsid w:val="38292433"/>
    <w:rsid w:val="386B2E9C"/>
    <w:rsid w:val="38AD4C0A"/>
    <w:rsid w:val="38B67A98"/>
    <w:rsid w:val="38C71038"/>
    <w:rsid w:val="38D47048"/>
    <w:rsid w:val="38D82B91"/>
    <w:rsid w:val="38E1635E"/>
    <w:rsid w:val="3907079C"/>
    <w:rsid w:val="39217148"/>
    <w:rsid w:val="3936386A"/>
    <w:rsid w:val="39477387"/>
    <w:rsid w:val="394B230B"/>
    <w:rsid w:val="395A05A6"/>
    <w:rsid w:val="39A673A1"/>
    <w:rsid w:val="3A0D4272"/>
    <w:rsid w:val="3A2940F7"/>
    <w:rsid w:val="3A902DC8"/>
    <w:rsid w:val="3AE4598E"/>
    <w:rsid w:val="3AEB54BA"/>
    <w:rsid w:val="3AED7D56"/>
    <w:rsid w:val="3AEF1C22"/>
    <w:rsid w:val="3B7906D0"/>
    <w:rsid w:val="3B9D79CE"/>
    <w:rsid w:val="3BB07701"/>
    <w:rsid w:val="3BB82A9D"/>
    <w:rsid w:val="3BC52C1E"/>
    <w:rsid w:val="3BC95DA1"/>
    <w:rsid w:val="3BD636B3"/>
    <w:rsid w:val="3BEF3A63"/>
    <w:rsid w:val="3C0F1D99"/>
    <w:rsid w:val="3C321F4D"/>
    <w:rsid w:val="3C595008"/>
    <w:rsid w:val="3C67161A"/>
    <w:rsid w:val="3C7E45CB"/>
    <w:rsid w:val="3CCC056A"/>
    <w:rsid w:val="3CD3535A"/>
    <w:rsid w:val="3CD73D60"/>
    <w:rsid w:val="3CFC4E99"/>
    <w:rsid w:val="3D212EDB"/>
    <w:rsid w:val="3D3B0201"/>
    <w:rsid w:val="3D6F0EF6"/>
    <w:rsid w:val="3D7A6218"/>
    <w:rsid w:val="3D9D4A23"/>
    <w:rsid w:val="3DA16CAC"/>
    <w:rsid w:val="3DAA1B3A"/>
    <w:rsid w:val="3DBB7856"/>
    <w:rsid w:val="3DC448E2"/>
    <w:rsid w:val="3E014747"/>
    <w:rsid w:val="3E103CC8"/>
    <w:rsid w:val="3E122463"/>
    <w:rsid w:val="3E1C2D73"/>
    <w:rsid w:val="3E4D03C8"/>
    <w:rsid w:val="3E823D9C"/>
    <w:rsid w:val="3EC6578A"/>
    <w:rsid w:val="3ECE641A"/>
    <w:rsid w:val="3EF32DD6"/>
    <w:rsid w:val="3EF717DC"/>
    <w:rsid w:val="3EFA7F88"/>
    <w:rsid w:val="3F00466A"/>
    <w:rsid w:val="3F012022"/>
    <w:rsid w:val="3F2200A2"/>
    <w:rsid w:val="3F2B111A"/>
    <w:rsid w:val="3F3638FA"/>
    <w:rsid w:val="3F4225CA"/>
    <w:rsid w:val="3F5B6F48"/>
    <w:rsid w:val="3F6B5F18"/>
    <w:rsid w:val="3F7E2E7B"/>
    <w:rsid w:val="3F867DC6"/>
    <w:rsid w:val="3F8832C9"/>
    <w:rsid w:val="3F9D79EB"/>
    <w:rsid w:val="3FEE47F9"/>
    <w:rsid w:val="404B0BD4"/>
    <w:rsid w:val="40596EC6"/>
    <w:rsid w:val="405A6781"/>
    <w:rsid w:val="4086576B"/>
    <w:rsid w:val="40AA46A6"/>
    <w:rsid w:val="40AD420F"/>
    <w:rsid w:val="40C913D4"/>
    <w:rsid w:val="40D667EF"/>
    <w:rsid w:val="40F94425"/>
    <w:rsid w:val="40FC0F5D"/>
    <w:rsid w:val="412A6279"/>
    <w:rsid w:val="415B1043"/>
    <w:rsid w:val="41643AD4"/>
    <w:rsid w:val="419014A0"/>
    <w:rsid w:val="41A35612"/>
    <w:rsid w:val="41AE19A2"/>
    <w:rsid w:val="41D04488"/>
    <w:rsid w:val="41E04506"/>
    <w:rsid w:val="41FB52C6"/>
    <w:rsid w:val="4221770A"/>
    <w:rsid w:val="42294B17"/>
    <w:rsid w:val="42532B4E"/>
    <w:rsid w:val="42831D2D"/>
    <w:rsid w:val="42864EB0"/>
    <w:rsid w:val="42C76F9F"/>
    <w:rsid w:val="42EC16D6"/>
    <w:rsid w:val="434929F0"/>
    <w:rsid w:val="435A3F8F"/>
    <w:rsid w:val="435C0457"/>
    <w:rsid w:val="43862855"/>
    <w:rsid w:val="43A5377C"/>
    <w:rsid w:val="43B26B9C"/>
    <w:rsid w:val="43B3061D"/>
    <w:rsid w:val="43F90615"/>
    <w:rsid w:val="44254A04"/>
    <w:rsid w:val="44277E60"/>
    <w:rsid w:val="443D4582"/>
    <w:rsid w:val="44586430"/>
    <w:rsid w:val="44692680"/>
    <w:rsid w:val="4486216C"/>
    <w:rsid w:val="44BD0353"/>
    <w:rsid w:val="44D437FB"/>
    <w:rsid w:val="44E74A1A"/>
    <w:rsid w:val="44F40A98"/>
    <w:rsid w:val="451467E3"/>
    <w:rsid w:val="45232B02"/>
    <w:rsid w:val="45313B95"/>
    <w:rsid w:val="453F1A77"/>
    <w:rsid w:val="45456FB2"/>
    <w:rsid w:val="4546062D"/>
    <w:rsid w:val="45C76287"/>
    <w:rsid w:val="45C962B7"/>
    <w:rsid w:val="46153E08"/>
    <w:rsid w:val="46182B8E"/>
    <w:rsid w:val="463446BC"/>
    <w:rsid w:val="4645418B"/>
    <w:rsid w:val="464F3010"/>
    <w:rsid w:val="467E7C74"/>
    <w:rsid w:val="46816D3A"/>
    <w:rsid w:val="468A0E9F"/>
    <w:rsid w:val="46C86568"/>
    <w:rsid w:val="46D42F41"/>
    <w:rsid w:val="46E7432D"/>
    <w:rsid w:val="46EC35B7"/>
    <w:rsid w:val="46F1583A"/>
    <w:rsid w:val="47626028"/>
    <w:rsid w:val="47A3636C"/>
    <w:rsid w:val="47B50031"/>
    <w:rsid w:val="47C47402"/>
    <w:rsid w:val="48077E3B"/>
    <w:rsid w:val="48123C4D"/>
    <w:rsid w:val="48235A51"/>
    <w:rsid w:val="48405A16"/>
    <w:rsid w:val="4843441C"/>
    <w:rsid w:val="488C3E27"/>
    <w:rsid w:val="48E13021"/>
    <w:rsid w:val="48E2687A"/>
    <w:rsid w:val="48EF6AB4"/>
    <w:rsid w:val="48FF56D4"/>
    <w:rsid w:val="494D48CF"/>
    <w:rsid w:val="494E6D13"/>
    <w:rsid w:val="49520D56"/>
    <w:rsid w:val="49F772E6"/>
    <w:rsid w:val="49FF2174"/>
    <w:rsid w:val="49FF78CA"/>
    <w:rsid w:val="4A05194D"/>
    <w:rsid w:val="4AA93C99"/>
    <w:rsid w:val="4AE71E2D"/>
    <w:rsid w:val="4AFB1112"/>
    <w:rsid w:val="4B35476F"/>
    <w:rsid w:val="4B722056"/>
    <w:rsid w:val="4B96350F"/>
    <w:rsid w:val="4BF03B4A"/>
    <w:rsid w:val="4C0368A5"/>
    <w:rsid w:val="4C13635C"/>
    <w:rsid w:val="4C2D6F06"/>
    <w:rsid w:val="4C2E14E2"/>
    <w:rsid w:val="4C473333"/>
    <w:rsid w:val="4C827C94"/>
    <w:rsid w:val="4D570F71"/>
    <w:rsid w:val="4D5C75F7"/>
    <w:rsid w:val="4D5D2E7B"/>
    <w:rsid w:val="4DBA3214"/>
    <w:rsid w:val="4DC0511E"/>
    <w:rsid w:val="4DCF17DB"/>
    <w:rsid w:val="4DE41E5A"/>
    <w:rsid w:val="4E057E10"/>
    <w:rsid w:val="4E1216A5"/>
    <w:rsid w:val="4E1A6AB1"/>
    <w:rsid w:val="4E355844"/>
    <w:rsid w:val="4E6F071F"/>
    <w:rsid w:val="4E8B55CB"/>
    <w:rsid w:val="4E9066F0"/>
    <w:rsid w:val="4EB3122E"/>
    <w:rsid w:val="4EBA2DB7"/>
    <w:rsid w:val="4EDA586A"/>
    <w:rsid w:val="4F136CC9"/>
    <w:rsid w:val="4F1C53DA"/>
    <w:rsid w:val="4F1D75D8"/>
    <w:rsid w:val="4F2F65F9"/>
    <w:rsid w:val="4F403A92"/>
    <w:rsid w:val="4F897F8C"/>
    <w:rsid w:val="4F9A44F8"/>
    <w:rsid w:val="4FA56238"/>
    <w:rsid w:val="4FCC3EF9"/>
    <w:rsid w:val="4FD907A7"/>
    <w:rsid w:val="4FF62B3F"/>
    <w:rsid w:val="4FFC114C"/>
    <w:rsid w:val="50142543"/>
    <w:rsid w:val="501F5F01"/>
    <w:rsid w:val="502C5217"/>
    <w:rsid w:val="504870C6"/>
    <w:rsid w:val="50966E45"/>
    <w:rsid w:val="511248E2"/>
    <w:rsid w:val="512800DC"/>
    <w:rsid w:val="51322546"/>
    <w:rsid w:val="51357C48"/>
    <w:rsid w:val="5156444F"/>
    <w:rsid w:val="5186674D"/>
    <w:rsid w:val="51B76F1C"/>
    <w:rsid w:val="51B80221"/>
    <w:rsid w:val="51C20B31"/>
    <w:rsid w:val="51CF7E46"/>
    <w:rsid w:val="51ED3F69"/>
    <w:rsid w:val="51FD7691"/>
    <w:rsid w:val="5204701C"/>
    <w:rsid w:val="523F1387"/>
    <w:rsid w:val="524268F0"/>
    <w:rsid w:val="524B2175"/>
    <w:rsid w:val="527B24DD"/>
    <w:rsid w:val="52AC1DB3"/>
    <w:rsid w:val="52E96395"/>
    <w:rsid w:val="52FF45DE"/>
    <w:rsid w:val="535940CA"/>
    <w:rsid w:val="53C93B0F"/>
    <w:rsid w:val="53D60B87"/>
    <w:rsid w:val="53EE0A41"/>
    <w:rsid w:val="53F45BEE"/>
    <w:rsid w:val="53FB16D5"/>
    <w:rsid w:val="54185D68"/>
    <w:rsid w:val="544A4CD7"/>
    <w:rsid w:val="545729B8"/>
    <w:rsid w:val="54581946"/>
    <w:rsid w:val="54936D59"/>
    <w:rsid w:val="54CC3FAC"/>
    <w:rsid w:val="54EE1F62"/>
    <w:rsid w:val="5507618C"/>
    <w:rsid w:val="552846C5"/>
    <w:rsid w:val="559F5609"/>
    <w:rsid w:val="55D01B90"/>
    <w:rsid w:val="56024028"/>
    <w:rsid w:val="56046C2C"/>
    <w:rsid w:val="562E6171"/>
    <w:rsid w:val="56432893"/>
    <w:rsid w:val="566C5C56"/>
    <w:rsid w:val="56941CA1"/>
    <w:rsid w:val="569C6481"/>
    <w:rsid w:val="56BD255D"/>
    <w:rsid w:val="56E733A1"/>
    <w:rsid w:val="57106764"/>
    <w:rsid w:val="571141E6"/>
    <w:rsid w:val="571D387C"/>
    <w:rsid w:val="57460AC2"/>
    <w:rsid w:val="574B7843"/>
    <w:rsid w:val="57503CCA"/>
    <w:rsid w:val="5789500F"/>
    <w:rsid w:val="57A219F2"/>
    <w:rsid w:val="583D704C"/>
    <w:rsid w:val="583F10B3"/>
    <w:rsid w:val="586D23A9"/>
    <w:rsid w:val="58951DE3"/>
    <w:rsid w:val="58AB5080"/>
    <w:rsid w:val="58BA45A1"/>
    <w:rsid w:val="594A4899"/>
    <w:rsid w:val="597439D0"/>
    <w:rsid w:val="59820BB5"/>
    <w:rsid w:val="599B6EA3"/>
    <w:rsid w:val="59A72F25"/>
    <w:rsid w:val="59BC7647"/>
    <w:rsid w:val="59BD50C9"/>
    <w:rsid w:val="59FB1240"/>
    <w:rsid w:val="5A4C0DA9"/>
    <w:rsid w:val="5A84380D"/>
    <w:rsid w:val="5A9B1234"/>
    <w:rsid w:val="5AB768B8"/>
    <w:rsid w:val="5ABE04EF"/>
    <w:rsid w:val="5AC004BF"/>
    <w:rsid w:val="5AC432B6"/>
    <w:rsid w:val="5B2D20BB"/>
    <w:rsid w:val="5B5E50F6"/>
    <w:rsid w:val="5B654180"/>
    <w:rsid w:val="5B692B86"/>
    <w:rsid w:val="5B6D2AC1"/>
    <w:rsid w:val="5B7E72A8"/>
    <w:rsid w:val="5BB31D00"/>
    <w:rsid w:val="5C1A7126"/>
    <w:rsid w:val="5C320050"/>
    <w:rsid w:val="5C522B03"/>
    <w:rsid w:val="5C910A31"/>
    <w:rsid w:val="5C976331"/>
    <w:rsid w:val="5CA81314"/>
    <w:rsid w:val="5CB376A5"/>
    <w:rsid w:val="5CC11316"/>
    <w:rsid w:val="5CCE7ECF"/>
    <w:rsid w:val="5D2D69AC"/>
    <w:rsid w:val="5D333896"/>
    <w:rsid w:val="5D41020E"/>
    <w:rsid w:val="5D5E4DB7"/>
    <w:rsid w:val="5D66326A"/>
    <w:rsid w:val="5DAF0841"/>
    <w:rsid w:val="5DF40E27"/>
    <w:rsid w:val="5DF9063C"/>
    <w:rsid w:val="5DFD716B"/>
    <w:rsid w:val="5E1F4504"/>
    <w:rsid w:val="5E413634"/>
    <w:rsid w:val="5E6E4700"/>
    <w:rsid w:val="5E75746C"/>
    <w:rsid w:val="5E7D63B9"/>
    <w:rsid w:val="5E802B0B"/>
    <w:rsid w:val="5E911D93"/>
    <w:rsid w:val="5EA42053"/>
    <w:rsid w:val="5ECA4827"/>
    <w:rsid w:val="5ED73B27"/>
    <w:rsid w:val="5EFC04E3"/>
    <w:rsid w:val="5F2922AC"/>
    <w:rsid w:val="5F312F3C"/>
    <w:rsid w:val="5F48426E"/>
    <w:rsid w:val="5F9F1931"/>
    <w:rsid w:val="5FE40CEC"/>
    <w:rsid w:val="5FF25578"/>
    <w:rsid w:val="60037A11"/>
    <w:rsid w:val="60082DB8"/>
    <w:rsid w:val="608060E1"/>
    <w:rsid w:val="608834ED"/>
    <w:rsid w:val="60B146B2"/>
    <w:rsid w:val="60B37BB5"/>
    <w:rsid w:val="60E86061"/>
    <w:rsid w:val="60FA2528"/>
    <w:rsid w:val="610761BD"/>
    <w:rsid w:val="61161E58"/>
    <w:rsid w:val="614429C5"/>
    <w:rsid w:val="614D672E"/>
    <w:rsid w:val="615D47CA"/>
    <w:rsid w:val="617F0C2C"/>
    <w:rsid w:val="61857F0D"/>
    <w:rsid w:val="61942726"/>
    <w:rsid w:val="61B312F0"/>
    <w:rsid w:val="61D84114"/>
    <w:rsid w:val="621837A3"/>
    <w:rsid w:val="624330B6"/>
    <w:rsid w:val="62594319"/>
    <w:rsid w:val="62CE1037"/>
    <w:rsid w:val="62D3782F"/>
    <w:rsid w:val="63180324"/>
    <w:rsid w:val="6333694F"/>
    <w:rsid w:val="63382DD7"/>
    <w:rsid w:val="6338770C"/>
    <w:rsid w:val="638031CB"/>
    <w:rsid w:val="63D84AC7"/>
    <w:rsid w:val="63E85179"/>
    <w:rsid w:val="63F35708"/>
    <w:rsid w:val="646C40CD"/>
    <w:rsid w:val="64CB796A"/>
    <w:rsid w:val="64D65CFB"/>
    <w:rsid w:val="64DE058B"/>
    <w:rsid w:val="64FB5370"/>
    <w:rsid w:val="65046F5B"/>
    <w:rsid w:val="65177F59"/>
    <w:rsid w:val="65393821"/>
    <w:rsid w:val="65453DB0"/>
    <w:rsid w:val="654B458A"/>
    <w:rsid w:val="656E627A"/>
    <w:rsid w:val="659D7A0A"/>
    <w:rsid w:val="65AE37E0"/>
    <w:rsid w:val="65BE7AF0"/>
    <w:rsid w:val="65C45983"/>
    <w:rsid w:val="65DF0A5F"/>
    <w:rsid w:val="65EB3645"/>
    <w:rsid w:val="660749C3"/>
    <w:rsid w:val="664F794F"/>
    <w:rsid w:val="66644208"/>
    <w:rsid w:val="667E0635"/>
    <w:rsid w:val="668002B5"/>
    <w:rsid w:val="668108BE"/>
    <w:rsid w:val="66846134"/>
    <w:rsid w:val="6689599E"/>
    <w:rsid w:val="66BF6EA0"/>
    <w:rsid w:val="66C0021C"/>
    <w:rsid w:val="66D615CF"/>
    <w:rsid w:val="670A2121"/>
    <w:rsid w:val="670D6C1F"/>
    <w:rsid w:val="6779459B"/>
    <w:rsid w:val="6788395D"/>
    <w:rsid w:val="678E04D5"/>
    <w:rsid w:val="67BB473E"/>
    <w:rsid w:val="680E4244"/>
    <w:rsid w:val="6858593D"/>
    <w:rsid w:val="687C4071"/>
    <w:rsid w:val="6898263D"/>
    <w:rsid w:val="68AD66CB"/>
    <w:rsid w:val="68E40DA4"/>
    <w:rsid w:val="692B184D"/>
    <w:rsid w:val="69AA6BE4"/>
    <w:rsid w:val="69C63A25"/>
    <w:rsid w:val="69CA3620"/>
    <w:rsid w:val="69FB0565"/>
    <w:rsid w:val="6A86139C"/>
    <w:rsid w:val="6AFB3992"/>
    <w:rsid w:val="6AFB7215"/>
    <w:rsid w:val="6B1F06CE"/>
    <w:rsid w:val="6B33736F"/>
    <w:rsid w:val="6B4C2497"/>
    <w:rsid w:val="6B6C6F5A"/>
    <w:rsid w:val="6B836525"/>
    <w:rsid w:val="6B896A79"/>
    <w:rsid w:val="6BBC3C61"/>
    <w:rsid w:val="6BC333DB"/>
    <w:rsid w:val="6BD20172"/>
    <w:rsid w:val="6BDD7A8A"/>
    <w:rsid w:val="6BFE7D3C"/>
    <w:rsid w:val="6C172E65"/>
    <w:rsid w:val="6C2B3C9B"/>
    <w:rsid w:val="6C341E24"/>
    <w:rsid w:val="6C4C58BD"/>
    <w:rsid w:val="6C4E249B"/>
    <w:rsid w:val="6CA74CD2"/>
    <w:rsid w:val="6CAB7E55"/>
    <w:rsid w:val="6CBE48F7"/>
    <w:rsid w:val="6CCE7137"/>
    <w:rsid w:val="6D382F3C"/>
    <w:rsid w:val="6D521197"/>
    <w:rsid w:val="6D5B21F7"/>
    <w:rsid w:val="6D6B12A5"/>
    <w:rsid w:val="6D8F730E"/>
    <w:rsid w:val="6D96164A"/>
    <w:rsid w:val="6DB74B0F"/>
    <w:rsid w:val="6DCC7033"/>
    <w:rsid w:val="6DD07C38"/>
    <w:rsid w:val="6DE84408"/>
    <w:rsid w:val="6E1E26F7"/>
    <w:rsid w:val="6E3A103C"/>
    <w:rsid w:val="6E3C2B6A"/>
    <w:rsid w:val="6E557E91"/>
    <w:rsid w:val="6EE67780"/>
    <w:rsid w:val="6F223D61"/>
    <w:rsid w:val="70077857"/>
    <w:rsid w:val="700D71E2"/>
    <w:rsid w:val="702A0B29"/>
    <w:rsid w:val="70577DED"/>
    <w:rsid w:val="70AE379D"/>
    <w:rsid w:val="70D94A29"/>
    <w:rsid w:val="71072C18"/>
    <w:rsid w:val="710E170D"/>
    <w:rsid w:val="71157B57"/>
    <w:rsid w:val="71275730"/>
    <w:rsid w:val="71286A35"/>
    <w:rsid w:val="71414712"/>
    <w:rsid w:val="71442AE2"/>
    <w:rsid w:val="716B51AA"/>
    <w:rsid w:val="71770F3C"/>
    <w:rsid w:val="71861B2D"/>
    <w:rsid w:val="71A37C91"/>
    <w:rsid w:val="71A861A9"/>
    <w:rsid w:val="71B30E36"/>
    <w:rsid w:val="71CC31D7"/>
    <w:rsid w:val="72216C4D"/>
    <w:rsid w:val="723E7D65"/>
    <w:rsid w:val="72453989"/>
    <w:rsid w:val="726A7D53"/>
    <w:rsid w:val="72715FB1"/>
    <w:rsid w:val="72923A89"/>
    <w:rsid w:val="72974778"/>
    <w:rsid w:val="729C4398"/>
    <w:rsid w:val="72FE5336"/>
    <w:rsid w:val="73403821"/>
    <w:rsid w:val="73460FAE"/>
    <w:rsid w:val="736B7EE9"/>
    <w:rsid w:val="73715675"/>
    <w:rsid w:val="73742538"/>
    <w:rsid w:val="73871A29"/>
    <w:rsid w:val="73905E71"/>
    <w:rsid w:val="739667AE"/>
    <w:rsid w:val="73D06E5A"/>
    <w:rsid w:val="74312230"/>
    <w:rsid w:val="74321EB0"/>
    <w:rsid w:val="74363F40"/>
    <w:rsid w:val="744527AA"/>
    <w:rsid w:val="746F6492"/>
    <w:rsid w:val="74AF4CFD"/>
    <w:rsid w:val="74B90E8F"/>
    <w:rsid w:val="74D361B6"/>
    <w:rsid w:val="74ED25E3"/>
    <w:rsid w:val="74F26A6B"/>
    <w:rsid w:val="75080C0F"/>
    <w:rsid w:val="750C2E98"/>
    <w:rsid w:val="752175BA"/>
    <w:rsid w:val="752D7B49"/>
    <w:rsid w:val="75355FA6"/>
    <w:rsid w:val="75430880"/>
    <w:rsid w:val="754A4EFB"/>
    <w:rsid w:val="75892461"/>
    <w:rsid w:val="75A2558A"/>
    <w:rsid w:val="75BB6B8A"/>
    <w:rsid w:val="75C1434F"/>
    <w:rsid w:val="75C17D76"/>
    <w:rsid w:val="75D72413"/>
    <w:rsid w:val="75D75DE4"/>
    <w:rsid w:val="75EB65E4"/>
    <w:rsid w:val="75F52E16"/>
    <w:rsid w:val="762A0487"/>
    <w:rsid w:val="76587637"/>
    <w:rsid w:val="76592B3A"/>
    <w:rsid w:val="765F11C0"/>
    <w:rsid w:val="76632274"/>
    <w:rsid w:val="767D7C04"/>
    <w:rsid w:val="76826F35"/>
    <w:rsid w:val="76866E81"/>
    <w:rsid w:val="769A2C00"/>
    <w:rsid w:val="76A673B6"/>
    <w:rsid w:val="76AE47C2"/>
    <w:rsid w:val="76B30C4A"/>
    <w:rsid w:val="76E62152"/>
    <w:rsid w:val="77376CA5"/>
    <w:rsid w:val="77476F3F"/>
    <w:rsid w:val="77571758"/>
    <w:rsid w:val="775A26DD"/>
    <w:rsid w:val="77617AE9"/>
    <w:rsid w:val="778B672F"/>
    <w:rsid w:val="77976AA4"/>
    <w:rsid w:val="77B5517C"/>
    <w:rsid w:val="77E34BBF"/>
    <w:rsid w:val="78106988"/>
    <w:rsid w:val="782B07F8"/>
    <w:rsid w:val="7841651F"/>
    <w:rsid w:val="784B788E"/>
    <w:rsid w:val="785947FE"/>
    <w:rsid w:val="785E4509"/>
    <w:rsid w:val="786C5A1D"/>
    <w:rsid w:val="789C1508"/>
    <w:rsid w:val="78CB12BA"/>
    <w:rsid w:val="78D7094F"/>
    <w:rsid w:val="78E26CE0"/>
    <w:rsid w:val="78E811D1"/>
    <w:rsid w:val="78EF0CF4"/>
    <w:rsid w:val="792F6DE0"/>
    <w:rsid w:val="7936676B"/>
    <w:rsid w:val="7942728A"/>
    <w:rsid w:val="79615030"/>
    <w:rsid w:val="7991608D"/>
    <w:rsid w:val="79B47039"/>
    <w:rsid w:val="79C618C2"/>
    <w:rsid w:val="79CF0EE8"/>
    <w:rsid w:val="79F6101D"/>
    <w:rsid w:val="7A2A1C30"/>
    <w:rsid w:val="7A525C3E"/>
    <w:rsid w:val="7AAB1B4F"/>
    <w:rsid w:val="7B001259"/>
    <w:rsid w:val="7B0C08EF"/>
    <w:rsid w:val="7B0C47DA"/>
    <w:rsid w:val="7B29572F"/>
    <w:rsid w:val="7B2B5921"/>
    <w:rsid w:val="7B2F1DA8"/>
    <w:rsid w:val="7B3813B3"/>
    <w:rsid w:val="7B396E35"/>
    <w:rsid w:val="7B756C9A"/>
    <w:rsid w:val="7B8D0529"/>
    <w:rsid w:val="7BCC54AA"/>
    <w:rsid w:val="7BFB4974"/>
    <w:rsid w:val="7C551D0C"/>
    <w:rsid w:val="7C5B46DC"/>
    <w:rsid w:val="7C9E5802"/>
    <w:rsid w:val="7CAF7C9B"/>
    <w:rsid w:val="7CC51E3F"/>
    <w:rsid w:val="7CCB71F0"/>
    <w:rsid w:val="7CDD1123"/>
    <w:rsid w:val="7D1A2BCE"/>
    <w:rsid w:val="7D3A3102"/>
    <w:rsid w:val="7D5A5BB5"/>
    <w:rsid w:val="7D6A55DE"/>
    <w:rsid w:val="7DBA6ED4"/>
    <w:rsid w:val="7DBE400F"/>
    <w:rsid w:val="7DE65B31"/>
    <w:rsid w:val="7E1D2ED0"/>
    <w:rsid w:val="7EB34EED"/>
    <w:rsid w:val="7EDF4025"/>
    <w:rsid w:val="7F4B6365"/>
    <w:rsid w:val="7F587BFA"/>
    <w:rsid w:val="7F6F4819"/>
    <w:rsid w:val="7FA04963"/>
    <w:rsid w:val="7FB2700E"/>
    <w:rsid w:val="7FC527AC"/>
    <w:rsid w:val="7FC71532"/>
    <w:rsid w:val="7FC9746C"/>
    <w:rsid w:val="7FDB01D3"/>
    <w:rsid w:val="7FF2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3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next w:val="3"/>
    <w:link w:val="17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39"/>
    <w:pPr>
      <w:tabs>
        <w:tab w:val="right" w:leader="dot" w:pos="8834"/>
      </w:tabs>
      <w:jc w:val="left"/>
    </w:pPr>
    <w:rPr>
      <w:rFonts w:ascii="黑体" w:hAnsi="黑体" w:eastAsia="黑体"/>
    </w:rPr>
  </w:style>
  <w:style w:type="paragraph" w:styleId="10">
    <w:name w:val="footnote text"/>
    <w:basedOn w:val="1"/>
    <w:unhideWhenUsed/>
    <w:qFormat/>
    <w:uiPriority w:val="99"/>
    <w:pPr>
      <w:snapToGrid w:val="0"/>
      <w:spacing w:line="560" w:lineRule="exact"/>
      <w:ind w:firstLine="880" w:firstLineChars="200"/>
      <w:jc w:val="left"/>
    </w:pPr>
    <w:rPr>
      <w:rFonts w:eastAsia="仿宋_GB2312"/>
      <w:sz w:val="32"/>
    </w:rPr>
  </w:style>
  <w:style w:type="paragraph" w:styleId="11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 2"/>
    <w:basedOn w:val="6"/>
    <w:qFormat/>
    <w:uiPriority w:val="0"/>
    <w:pPr>
      <w:spacing w:beforeLines="50" w:line="360" w:lineRule="auto"/>
      <w:ind w:firstLine="420" w:firstLineChars="200"/>
    </w:pPr>
    <w:rPr>
      <w:rFonts w:eastAsia="仿宋_GB2312"/>
      <w:sz w:val="32"/>
    </w:rPr>
  </w:style>
  <w:style w:type="character" w:styleId="16">
    <w:name w:val="Strong"/>
    <w:basedOn w:val="15"/>
    <w:qFormat/>
    <w:uiPriority w:val="0"/>
    <w:rPr>
      <w:b/>
    </w:rPr>
  </w:style>
  <w:style w:type="character" w:customStyle="1" w:styleId="17">
    <w:name w:val="标题 3 Char"/>
    <w:link w:val="5"/>
    <w:qFormat/>
    <w:uiPriority w:val="9"/>
    <w:rPr>
      <w:rFonts w:ascii="Times New Roman" w:hAnsi="Times New Roman" w:eastAsia="仿宋_GB2312" w:cs="仿宋_GB2312"/>
      <w:sz w:val="32"/>
      <w:szCs w:val="32"/>
    </w:rPr>
  </w:style>
  <w:style w:type="paragraph" w:customStyle="1" w:styleId="18">
    <w:name w:val="首行缩进"/>
    <w:basedOn w:val="1"/>
    <w:qFormat/>
    <w:uiPriority w:val="0"/>
    <w:pPr>
      <w:spacing w:line="360" w:lineRule="auto"/>
      <w:ind w:firstLine="480"/>
    </w:pPr>
    <w:rPr>
      <w:rFonts w:ascii="宋体" w:hAnsi="宋体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12921</Words>
  <Characters>13351</Characters>
  <Lines>0</Lines>
  <Paragraphs>0</Paragraphs>
  <TotalTime>409</TotalTime>
  <ScaleCrop>false</ScaleCrop>
  <LinksUpToDate>false</LinksUpToDate>
  <CharactersWithSpaces>13361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2026-06-30T03:05:00Z</dcterms:created>
  <dc:creator>Administrator</dc:creator>
  <cp:lastModifiedBy>Jupiter</cp:lastModifiedBy>
  <cp:lastPrinted>2026-07-26T01:21:00Z</cp:lastPrinted>
  <dcterms:modified xsi:type="dcterms:W3CDTF">2026-10-13T00:58:58Z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17EF711C85874F80A6D2419DBC6D71AE</vt:lpwstr>
  </property>
  <property fmtid="{D5CDD505-2E9C-101B-9397-08002B2CF9AE}" pid="4" name="KSOTemplateDocerSaveRecord">
    <vt:lpwstr>eyJoZGlkIjoiMDJkYzY1Nzc0ZjNlMjk0ZGRmMmNlMGNmZmI4YjAwZmEiLCJ1c2VySWQiOiI3MjQzMDkwNjQifQ==</vt:lpwstr>
  </property>
</Properties>
</file>