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ackground w:color="FFFFFF"/>
  <w:body>
    <w:p w14:paraId="0CB3D50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00" w:lineRule="exact"/>
        <w:textAlignment w:val="auto"/>
        <w:outlineLvl w:val="9"/>
        <w:rPr>
          <w:rFonts w:eastAsia="黑体"/>
          <w:color w:val="FF0000"/>
        </w:rPr>
      </w:pPr>
      <w:bookmarkStart w:id="0" w:name="_GoBack"/>
      <w:bookmarkEnd w:id="0"/>
    </w:p>
    <w:p w14:paraId="25B3437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  <w:lang w:val="en-US"/>
        </w:rPr>
      </w:pPr>
      <w:r>
        <w:rPr>
          <w:rFonts w:hint="eastAsia" w:ascii="方正小标宋简体" w:eastAsia="方正小标宋简体"/>
          <w:sz w:val="44"/>
          <w:szCs w:val="44"/>
        </w:rPr>
        <w:t>威海经济技术开发区</w:t>
      </w:r>
      <w:r>
        <w:rPr>
          <w:rFonts w:hint="eastAsia" w:ascii="方正小标宋简体" w:eastAsia="方正小标宋简体"/>
          <w:sz w:val="44"/>
          <w:szCs w:val="44"/>
          <w:lang w:val="en-US" w:eastAsia="zh-CN"/>
        </w:rPr>
        <w:t>党政办公室</w:t>
      </w:r>
    </w:p>
    <w:p w14:paraId="55C2619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76" w:lineRule="exact"/>
        <w:jc w:val="center"/>
        <w:textAlignment w:val="auto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关于印发《威海经济技术开发区地震应急预案》的通知</w:t>
      </w:r>
    </w:p>
    <w:p w14:paraId="67DF5640">
      <w:pPr>
        <w:pStyle w:val="9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经技区</w:t>
      </w:r>
      <w:r>
        <w:rPr>
          <w:rFonts w:hint="eastAsia" w:ascii="Times New Roman" w:hAnsi="Times New Roman" w:cs="Times New Roman"/>
        </w:rPr>
        <w:t>党政</w:t>
      </w:r>
      <w:r>
        <w:rPr>
          <w:rFonts w:ascii="Times New Roman" w:hAnsi="Times New Roman" w:cs="Times New Roman"/>
        </w:rPr>
        <w:t>办发〔202</w:t>
      </w:r>
      <w:r>
        <w:rPr>
          <w:rFonts w:hint="eastAsia" w:ascii="Times New Roman" w:hAnsi="Times New Roman" w:cs="Times New Roman"/>
          <w:lang w:val="en-US" w:eastAsia="zh-CN"/>
        </w:rPr>
        <w:t>3</w:t>
      </w:r>
      <w:r>
        <w:rPr>
          <w:rFonts w:ascii="Times New Roman" w:hAnsi="Times New Roman" w:cs="Times New Roman"/>
        </w:rPr>
        <w:t>〕</w:t>
      </w:r>
      <w:r>
        <w:rPr>
          <w:rFonts w:hint="eastAsia" w:ascii="Times New Roman" w:hAnsi="Times New Roman" w:cs="Times New Roman"/>
          <w:lang w:val="en-US" w:eastAsia="zh-CN"/>
        </w:rPr>
        <w:t>37</w:t>
      </w:r>
      <w:r>
        <w:rPr>
          <w:rFonts w:ascii="Times New Roman" w:hAnsi="Times New Roman" w:cs="Times New Roman"/>
        </w:rPr>
        <w:t>号</w:t>
      </w:r>
    </w:p>
    <w:p w14:paraId="2E9783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6" w:lineRule="exact"/>
        <w:jc w:val="center"/>
        <w:textAlignment w:val="auto"/>
      </w:pPr>
    </w:p>
    <w:p w14:paraId="7F7F1F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textAlignment w:val="auto"/>
        <w:rPr>
          <w:rFonts w:hint="default" w:ascii="Times New Roman" w:hAnsi="Times New Roman" w:eastAsia="仿宋_GB2312" w:cs="Times New Roman"/>
        </w:rPr>
      </w:pPr>
      <w:r>
        <w:rPr>
          <w:rFonts w:hint="default" w:ascii="Times New Roman" w:hAnsi="Times New Roman" w:eastAsia="仿宋_GB2312" w:cs="Times New Roman"/>
        </w:rPr>
        <w:t>区直各部门，各镇、街道，驻区各单位</w:t>
      </w:r>
      <w:r>
        <w:rPr>
          <w:rFonts w:hint="default" w:ascii="Times New Roman" w:hAnsi="Times New Roman" w:eastAsia="仿宋_GB2312" w:cs="Times New Roman"/>
          <w:lang w:eastAsia="zh-CN"/>
        </w:rPr>
        <w:t>，</w:t>
      </w:r>
      <w:r>
        <w:rPr>
          <w:rFonts w:hint="default" w:ascii="Times New Roman" w:hAnsi="Times New Roman" w:eastAsia="仿宋_GB2312" w:cs="Times New Roman"/>
          <w:lang w:val="en-US" w:eastAsia="zh-CN"/>
        </w:rPr>
        <w:t>区属各国企</w:t>
      </w:r>
      <w:r>
        <w:rPr>
          <w:rFonts w:hint="default" w:ascii="Times New Roman" w:hAnsi="Times New Roman" w:eastAsia="仿宋_GB2312" w:cs="Times New Roman"/>
        </w:rPr>
        <w:t>：</w:t>
      </w:r>
    </w:p>
    <w:p w14:paraId="1AD6F1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firstLine="632" w:firstLineChars="200"/>
        <w:textAlignment w:val="auto"/>
        <w:rPr>
          <w:rFonts w:hint="default" w:ascii="Times New Roman" w:hAnsi="Times New Roman" w:eastAsia="仿宋_GB2312" w:cs="Times New Roman"/>
        </w:rPr>
      </w:pPr>
      <w:r>
        <w:rPr>
          <w:rFonts w:hint="default" w:ascii="Times New Roman" w:hAnsi="Times New Roman" w:eastAsia="仿宋_GB2312" w:cs="Times New Roman"/>
        </w:rPr>
        <w:t>现将修订后的《威海经济技术开发区地震应急预案》印发给你们，</w:t>
      </w:r>
      <w:r>
        <w:rPr>
          <w:rFonts w:hint="default" w:ascii="Times New Roman" w:hAnsi="Times New Roman" w:eastAsia="仿宋_GB2312" w:cs="Times New Roman"/>
          <w:lang w:val="en-US" w:eastAsia="zh-CN"/>
        </w:rPr>
        <w:t>请</w:t>
      </w:r>
      <w:r>
        <w:rPr>
          <w:rFonts w:hint="default" w:ascii="Times New Roman" w:hAnsi="Times New Roman" w:eastAsia="仿宋_GB2312" w:cs="Times New Roman"/>
        </w:rPr>
        <w:t>认真</w:t>
      </w:r>
      <w:r>
        <w:rPr>
          <w:rFonts w:hint="default" w:ascii="Times New Roman" w:hAnsi="Times New Roman" w:eastAsia="仿宋_GB2312" w:cs="Times New Roman"/>
          <w:lang w:val="en-US" w:eastAsia="zh-CN"/>
        </w:rPr>
        <w:t>遵照执行</w:t>
      </w:r>
      <w:r>
        <w:rPr>
          <w:rFonts w:hint="default" w:ascii="Times New Roman" w:hAnsi="Times New Roman" w:eastAsia="仿宋_GB2312" w:cs="Times New Roman"/>
        </w:rPr>
        <w:t>。</w:t>
      </w:r>
    </w:p>
    <w:p w14:paraId="4C9211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720" w:lineRule="exact"/>
        <w:textAlignment w:val="auto"/>
        <w:rPr>
          <w:rFonts w:hint="default" w:ascii="Times New Roman" w:hAnsi="Times New Roman" w:eastAsia="仿宋_GB2312" w:cs="Times New Roman"/>
        </w:rPr>
      </w:pPr>
    </w:p>
    <w:p w14:paraId="530E30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firstLine="632" w:firstLineChars="200"/>
        <w:textAlignment w:val="auto"/>
        <w:rPr>
          <w:rFonts w:hint="default" w:ascii="Times New Roman" w:hAnsi="Times New Roman" w:eastAsia="仿宋_GB2312" w:cs="Times New Roman"/>
          <w:lang w:val="en-US" w:eastAsia="zh-CN"/>
        </w:rPr>
      </w:pPr>
      <w:r>
        <w:rPr>
          <w:rFonts w:hint="default" w:ascii="Times New Roman" w:hAnsi="Times New Roman" w:eastAsia="仿宋_GB2312" w:cs="Times New Roman"/>
        </w:rPr>
        <w:t xml:space="preserve">                </w:t>
      </w:r>
      <w:r>
        <w:rPr>
          <w:rFonts w:hint="default" w:ascii="Times New Roman" w:hAnsi="Times New Roman" w:cs="Times New Roman"/>
          <w:lang w:val="en"/>
        </w:rPr>
        <w:t xml:space="preserve">    </w:t>
      </w:r>
      <w:r>
        <w:rPr>
          <w:rFonts w:hint="default" w:ascii="Times New Roman" w:hAnsi="Times New Roman" w:eastAsia="仿宋_GB2312" w:cs="Times New Roman"/>
        </w:rPr>
        <w:t xml:space="preserve">  威海经济技术开发区</w:t>
      </w:r>
      <w:r>
        <w:rPr>
          <w:rFonts w:hint="default" w:ascii="Times New Roman" w:hAnsi="Times New Roman" w:eastAsia="仿宋_GB2312" w:cs="Times New Roman"/>
          <w:lang w:val="en-US" w:eastAsia="zh-CN"/>
        </w:rPr>
        <w:t>党政办公室</w:t>
      </w:r>
    </w:p>
    <w:p w14:paraId="709B01C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firstLine="632" w:firstLineChars="200"/>
        <w:textAlignment w:val="auto"/>
        <w:rPr>
          <w:rFonts w:hint="default" w:ascii="Times New Roman" w:hAnsi="Times New Roman" w:eastAsia="仿宋_GB2312" w:cs="Times New Roman"/>
        </w:rPr>
      </w:pPr>
      <w:r>
        <w:rPr>
          <w:rFonts w:hint="default" w:ascii="Times New Roman" w:hAnsi="Times New Roman" w:eastAsia="仿宋_GB2312" w:cs="Times New Roman"/>
        </w:rPr>
        <w:t xml:space="preserve">                    </w:t>
      </w:r>
      <w:r>
        <w:rPr>
          <w:rFonts w:hint="default" w:ascii="Times New Roman" w:hAnsi="Times New Roman" w:cs="Times New Roman"/>
          <w:lang w:val="en"/>
        </w:rPr>
        <w:t xml:space="preserve">    </w:t>
      </w:r>
      <w:r>
        <w:rPr>
          <w:rFonts w:hint="default" w:ascii="Times New Roman" w:hAnsi="Times New Roman" w:eastAsia="仿宋_GB2312" w:cs="Times New Roman"/>
        </w:rPr>
        <w:t xml:space="preserve">    202</w:t>
      </w:r>
      <w:r>
        <w:rPr>
          <w:rFonts w:hint="default" w:ascii="Times New Roman" w:hAnsi="Times New Roman" w:eastAsia="仿宋_GB2312" w:cs="Times New Roman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</w:rPr>
        <w:t>年</w:t>
      </w:r>
      <w:r>
        <w:rPr>
          <w:rFonts w:hint="default" w:ascii="Times New Roman" w:hAnsi="Times New Roman" w:eastAsia="仿宋_GB2312" w:cs="Times New Roman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</w:rPr>
        <w:t>月</w:t>
      </w:r>
      <w:r>
        <w:rPr>
          <w:rFonts w:hint="eastAsia" w:ascii="Times New Roman" w:hAnsi="Times New Roman" w:cs="Times New Roman"/>
          <w:lang w:val="en-US" w:eastAsia="zh-CN"/>
        </w:rPr>
        <w:t>29</w:t>
      </w:r>
      <w:r>
        <w:rPr>
          <w:rFonts w:hint="default" w:ascii="Times New Roman" w:hAnsi="Times New Roman" w:eastAsia="仿宋_GB2312" w:cs="Times New Roman"/>
        </w:rPr>
        <w:t>日</w:t>
      </w:r>
    </w:p>
    <w:p w14:paraId="5415E79F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pacing w:line="576" w:lineRule="exact"/>
        <w:ind w:left="0" w:leftChars="0" w:firstLine="632" w:firstLineChars="200"/>
        <w:textAlignment w:val="auto"/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sz w:val="32"/>
          <w:szCs w:val="32"/>
          <w:lang w:val="en-US" w:eastAsia="zh-CN"/>
        </w:rPr>
        <w:t>（此件公开发布）</w:t>
      </w:r>
    </w:p>
    <w:p w14:paraId="4069CFD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6" w:lineRule="exact"/>
        <w:ind w:left="0" w:right="0"/>
        <w:jc w:val="center"/>
        <w:textAlignment w:val="auto"/>
        <w:outlineLvl w:val="0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</w:p>
    <w:p w14:paraId="01FC98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76" w:lineRule="exact"/>
        <w:ind w:left="0" w:right="0"/>
        <w:jc w:val="center"/>
        <w:textAlignment w:val="auto"/>
        <w:outlineLvl w:val="0"/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color w:val="auto"/>
          <w:sz w:val="44"/>
          <w:szCs w:val="44"/>
        </w:rPr>
        <w:t>威海经济技术开发区地震应急预案</w:t>
      </w:r>
    </w:p>
    <w:p w14:paraId="19F7C39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方正黑体_GBK" w:cs="Times New Roman"/>
          <w:color w:val="auto"/>
          <w:sz w:val="32"/>
          <w:szCs w:val="32"/>
        </w:rPr>
      </w:pPr>
    </w:p>
    <w:p w14:paraId="327C1CE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1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　总　则</w:t>
      </w:r>
    </w:p>
    <w:p w14:paraId="4CAA67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52"/>
          <w:szCs w:val="52"/>
        </w:rPr>
      </w:pPr>
      <w:r>
        <w:rPr>
          <w:rFonts w:hint="default" w:ascii="Times New Roman" w:hAnsi="Times New Roman" w:eastAsia="仿宋_GB2312" w:cs="Times New Roman"/>
          <w:color w:val="auto"/>
        </w:rPr>
        <w:t>1.1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编制目的</w:t>
      </w:r>
    </w:p>
    <w:p w14:paraId="5B3402D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提高应对地震灾害能力，保障地震应急与救援工作高效有序进行，最大限度地减少人员伤亡、减轻地震灾害损失，维护社会稳定。</w:t>
      </w:r>
    </w:p>
    <w:p w14:paraId="64D02C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1.2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编制依据</w:t>
      </w:r>
    </w:p>
    <w:p w14:paraId="4D8D272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《中华人民共和国突发事件应对法》《中华人民共和国防震减灾法》《山东省防震减灾条例》《山东省地震应急与救援办法》《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山东省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地震应急预案》《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地震应急预案》和《威海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经济技术开发区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突发事件总体应急预案》等。</w:t>
      </w:r>
    </w:p>
    <w:p w14:paraId="3B8E8F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1.3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适用范围</w:t>
      </w:r>
    </w:p>
    <w:p w14:paraId="4D59F7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本预案适用于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威海经济技术开发区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区域内处置地震灾害事件和其他地震事件的应急与救援行动。</w:t>
      </w:r>
    </w:p>
    <w:p w14:paraId="3F51E6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1.4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工作原则</w:t>
      </w:r>
    </w:p>
    <w:p w14:paraId="1811688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以人为本、减少损失；统一领导、综合协调；分级管理、属地为主；协同联动、资源共享。</w:t>
      </w:r>
    </w:p>
    <w:p w14:paraId="5428A7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2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　组织体系</w:t>
      </w:r>
    </w:p>
    <w:p w14:paraId="29AFEC5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地震应急组织指挥体系由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抗震救灾指挥部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以下简称区指挥部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各镇街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抗震救灾指挥机构等组成。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指挥部负责统一领导、指挥和协调全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抗震救灾工作。</w:t>
      </w:r>
    </w:p>
    <w:p w14:paraId="4BEC56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/>
        </w:rPr>
      </w:pPr>
      <w:r>
        <w:rPr>
          <w:rFonts w:hint="default" w:ascii="Times New Roman" w:hAnsi="Times New Roman" w:eastAsia="仿宋_GB2312" w:cs="Times New Roman"/>
          <w:color w:val="auto"/>
        </w:rPr>
        <w:t>2.1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领导机构</w:t>
      </w:r>
    </w:p>
    <w:p w14:paraId="09DF641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2.1.1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指挥部组成</w:t>
      </w:r>
    </w:p>
    <w:p w14:paraId="059832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由党工委管委指定的负责同志担任，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副指挥长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由党工委管委有关领导、应急管理中心主要负责人担任，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成员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党政办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、经济发展局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、财政金融局、建设局、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科技创新局、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社会工作部、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公安分局、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自然资源和规划局经区管理办公室、生态环境分局、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教育分局、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卫生健康管理办公室、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交警三大队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供电中心、消防救援大队、联通分公司、移动分公司、电信分公司、铁塔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办事处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部门、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单位负责人组成。</w:t>
      </w:r>
    </w:p>
    <w:p w14:paraId="4F86605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指挥部下设办公室、专家组，根据应急处置需要，可设若干工作组。</w:t>
      </w:r>
    </w:p>
    <w:p w14:paraId="5151D83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2.1.2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指挥部主要职责</w:t>
      </w:r>
    </w:p>
    <w:p w14:paraId="0F0FBE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传达贯彻落实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上级政府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决策部署，执行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上级防（抗）震救灾指挥部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党工委管委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工作要求；决定启动应急响应、宣布地震灾区进入应急期；了解和掌握震情、灾情、社情、民情、舆情及发展趋势，组织信息发布；决定重点目标保护和交通管制等应急措施；决定派遣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级地震灾害救援队伍和各类抢险抢修专业队伍，指挥协调人员搜救和抢险救援行动；组织指挥伤员救治、转运及遇难人员善后处理；组织调运救灾物资，安置受灾群众，保障灾区群众生活供应；核实灾情，下拨抗震救灾资金；协调当地驻军、武警部队参加抢险救灾；必要时，请求上级及有关部门、社会组织等对灾区实施紧急救援和支援；建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党工委管委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派出慰问团等。</w:t>
      </w:r>
    </w:p>
    <w:p w14:paraId="1DE25C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</w:rPr>
        <w:t>2.1.3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抗震救灾指挥部办公室及职责</w:t>
      </w:r>
    </w:p>
    <w:p w14:paraId="6B39F1B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抗震救灾指挥部办公室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以下简称区指挥部办公室）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是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指挥部的办事机构，设在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。办公室主任由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应急管理中心主要负责人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兼任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成员由消防救援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及灾区镇街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单位负责人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组成。主要职责：负责承办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指挥部工作会议，传达贯彻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上级防（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震救灾指挥部的指示和部署；负责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指挥部成员单位和各类救援队伍的组织协调；收集汇总震情、灾情、社情和民情等，研究提出意见建议，及时向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指挥部报告；协调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指挥部成员单位、地震灾害救援队伍与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受灾镇街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之间的应急行动；负责地震救援准备、现场处置、抢险救援和救灾的牵头工作；支援和指导灾区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开展应急救援工作。</w:t>
      </w:r>
    </w:p>
    <w:p w14:paraId="4AA402F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2.1.4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专家组组成及职责</w:t>
      </w:r>
    </w:p>
    <w:p w14:paraId="6E32065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专家组由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</w:rPr>
        <w:t>应急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lang w:val="en-US" w:eastAsia="zh-CN"/>
        </w:rPr>
        <w:t>管理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</w:rPr>
        <w:t>、消防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lang w:val="en-US" w:eastAsia="zh-CN"/>
        </w:rPr>
        <w:t>救援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</w:rPr>
        <w:t>、工业和信息化、公安、自然资源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lang w:val="en-US" w:eastAsia="zh-CN"/>
        </w:rPr>
        <w:t>和规划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</w:rPr>
        <w:t>、生态环境、住房城乡建设、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lang w:eastAsia="zh-CN"/>
        </w:rPr>
        <w:t>地震、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</w:rPr>
        <w:t>水务、卫生健康、通信、供电等</w:t>
      </w:r>
      <w:r>
        <w:rPr>
          <w:rFonts w:hint="default" w:ascii="Times New Roman" w:hAnsi="Times New Roman" w:eastAsia="仿宋_GB2312" w:cs="Times New Roman"/>
          <w:strike w:val="0"/>
          <w:dstrike w:val="0"/>
          <w:color w:val="auto"/>
          <w:sz w:val="32"/>
          <w:szCs w:val="32"/>
          <w:lang w:val="en-US" w:eastAsia="zh-CN"/>
        </w:rPr>
        <w:t>部门、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单位专家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组成。主要职责：承担抗震救灾决策技术咨询；向指挥部提出处置措施建议；参加生命救援和工程抢险抢修应急处置；受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指挥部委托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对有关处置方案进行综合评估等。</w:t>
      </w:r>
    </w:p>
    <w:p w14:paraId="7A54F9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2.2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抗震救灾指挥机构</w:t>
      </w:r>
    </w:p>
    <w:p w14:paraId="42EEE99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抗震救灾指挥机构负责统一领导、指挥和协调本区域抗震救灾工作；实施先期应急救援，贯彻落实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指挥部的指示要求；配合和协助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指挥部的应急救援行动。</w:t>
      </w:r>
    </w:p>
    <w:p w14:paraId="5642AE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3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　应急响应</w:t>
      </w:r>
    </w:p>
    <w:p w14:paraId="2D6988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3.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>1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 xml:space="preserve"> 一般地震灾害应急响应</w:t>
      </w:r>
    </w:p>
    <w:p w14:paraId="43A8AA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3.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</w:rPr>
        <w:t>.1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应急响应启动</w:t>
      </w:r>
    </w:p>
    <w:p w14:paraId="40574A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一般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地震灾害发生后，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迅速将震情上报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党工委管委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市应急局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市地震监测中心；提出启动</w:t>
      </w:r>
      <w:r>
        <w:rPr>
          <w:rFonts w:hint="default" w:ascii="Times New Roman" w:hAnsi="Times New Roman" w:eastAsia="宋体" w:cs="Times New Roman"/>
          <w:color w:val="auto"/>
          <w:sz w:val="32"/>
          <w:szCs w:val="32"/>
          <w:lang w:val="en-US" w:eastAsia="zh-CN"/>
        </w:rPr>
        <w:t>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级响应的建议。</w:t>
      </w:r>
    </w:p>
    <w:p w14:paraId="05F5F41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（2）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报党工委管委同意后，区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指挥部启动Ⅱ级应急响应，领导全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抗震救灾工作。</w:t>
      </w:r>
    </w:p>
    <w:p w14:paraId="58C323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（3）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指挥部成员单位和灾区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迅速采取必要的先期处置措施，防止灾情进一步扩大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防范二次或次生灾害。情况紧急时，可先行组织搜救被困人员。</w:t>
      </w:r>
    </w:p>
    <w:p w14:paraId="61FF03F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3.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</w:rPr>
        <w:t>.2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灾情收集与报送</w:t>
      </w:r>
    </w:p>
    <w:p w14:paraId="5E5EB6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（1）灾区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及时向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党工委管委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指挥部办公室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报告震情、灾情等信息。</w:t>
      </w:r>
    </w:p>
    <w:p w14:paraId="250DA1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（2）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指挥部成员单位及时了解、收集和汇总本行业灾情信息，分析评估救灾需求，并及时报告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党工委管委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指挥部办公室。</w:t>
      </w:r>
    </w:p>
    <w:p w14:paraId="1D7603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（3）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指挥部办公室配合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上级地震部门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对地震可能造成的灾害情况做出快速预评估。</w:t>
      </w:r>
    </w:p>
    <w:p w14:paraId="3697C19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（4）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指挥部办公室及时将初步掌握的震情、灾情上报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党工委管委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震救灾指挥部办公室。</w:t>
      </w:r>
    </w:p>
    <w:p w14:paraId="73D5E58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（5）自然资源和规划局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经区管理办公室协调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利用航空遥感和卫星遥感手段，制作提供灾区影像和地图资料。</w:t>
      </w:r>
    </w:p>
    <w:p w14:paraId="7F86C95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3.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</w:rPr>
        <w:t>.3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应急部署</w:t>
      </w:r>
    </w:p>
    <w:p w14:paraId="798504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指挥部召开紧急会议，部署抗震救灾行动。</w:t>
      </w:r>
    </w:p>
    <w:p w14:paraId="4CA8D02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（1）分析、判断地震趋势，了解、掌握灾情并确定抗震救灾工作方案；派出现场工作队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配合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现场工作队迅速开展地震现场震情监测、受损监测设施抢修、地震烈度调查等工作。</w:t>
      </w:r>
    </w:p>
    <w:p w14:paraId="701291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（2）协调驻军和武警部队参加抢险救灾，派出地震灾害救援队伍等专业救援队伍。迅速组织抢救人员，组织有关单位和人员开展自救互救。</w:t>
      </w:r>
    </w:p>
    <w:p w14:paraId="3FE333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（3）迅速组织实施紧急医学救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，组织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指导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伤员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的医疗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救治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卫生防疫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工作。</w:t>
      </w:r>
    </w:p>
    <w:p w14:paraId="582D7DC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（4）组织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或者协助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抢修损毁的公路、水利、供水、供电、供热、燃气、通信等基础设施。</w:t>
      </w:r>
    </w:p>
    <w:p w14:paraId="7B462E0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（5）启用应急避难场所，设置临时避难场所和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救灾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物资供应点，提供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救灾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物品、临时住所，及时转移和安置受灾群众，保障灾民食品、饮用水等基本生活必需品；根据震情、灾情变化适时向社会征用救援物资、装备和工具。</w:t>
      </w:r>
    </w:p>
    <w:p w14:paraId="55E66D0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（6）迅速控制危险源，封锁危险场所，关闭人员密集场所，停止可能发生严重次生灾害的生产经营活动，划定可能引发次生灾害的危险区域和警戒区域，设置警戒标志，并采取紧急防控措施。</w:t>
      </w:r>
    </w:p>
    <w:p w14:paraId="2241DCC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（7）依法采取维持社会秩序、维护社会治安的紧急措施。</w:t>
      </w:r>
    </w:p>
    <w:p w14:paraId="022E70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（8）组织动员社会组织、志愿者及社会公众有序参与地震应急救援行动，开展灾后救助、心理援助等工作。</w:t>
      </w:r>
    </w:p>
    <w:p w14:paraId="0DA598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（9）向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震救灾指挥部报告震情、灾情和救灾工作进展，视情请求相关支援。</w:t>
      </w:r>
    </w:p>
    <w:p w14:paraId="23AE5D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（10）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根据有关规定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适时召开新闻发布会，向社会公告震情、灾情以及地震应急与救援的动态信息。</w:t>
      </w:r>
    </w:p>
    <w:p w14:paraId="5A8CFC4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3.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</w:rPr>
        <w:t>.4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应急处置</w:t>
      </w:r>
    </w:p>
    <w:p w14:paraId="56CB90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（1）紧急救援。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、消防救援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队等部门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单位立即组织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级地震灾害救援队伍、综合性消防救援队伍等赶赴灾区开展生命搜救，组织抢救人员。</w:t>
      </w:r>
    </w:p>
    <w:p w14:paraId="769A7EB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（2）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医疗救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。卫生健康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管理办公室负责组织指导现场伤病员的医疗救治、卫生防疫和心理援助等工作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协调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外医疗卫生救援队和医疗机构开展伤员救治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工作；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配合有关部门做好灾区医疗仪器安全保障。有关部门迅速筹集和运送灾区急需药品药械，必要时，请求上级调拨救灾药品。</w:t>
      </w:r>
    </w:p>
    <w:p w14:paraId="6797753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（3）人员安置。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应急管理中心指导灾区镇街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制定和实施受灾群众救助工作方案，调配帐篷、衣被、食品等救灾物品，转移和安置灾民。</w:t>
      </w:r>
    </w:p>
    <w:p w14:paraId="75225F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教育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局负责组织遭受破坏学校的学生转移和安置，适时组织学生复课，维持正常教学秩序。</w:t>
      </w:r>
    </w:p>
    <w:p w14:paraId="1AD952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应急管理中心、经济发展局（应急局）、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商务局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灾区镇街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等有关部门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单位负责灾区群众基本生活物资供应。</w:t>
      </w:r>
    </w:p>
    <w:p w14:paraId="2BE32C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建设局负责组织力量对灾区民用住房和学校、医院等公共场所被震损的建设工程开展应急评估、鉴定，对建筑安全情况进行分类，并设置明显标识。</w:t>
      </w:r>
    </w:p>
    <w:p w14:paraId="55B4AEA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strike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灾区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负责启用应急避难场所，设置临时住所和救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物资供应点，及时转移和安置受灾群众，保障灾民食品、饮用水等基本生活需求。</w:t>
      </w:r>
    </w:p>
    <w:p w14:paraId="5A3DB44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（4）应急通信。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经济发展局（应急局）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通信运营企业，按照职责负责修复被损毁的通信设施，启动应急通信保障，优先保障指挥通信畅通。</w:t>
      </w:r>
    </w:p>
    <w:p w14:paraId="57BEF0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建设局负责协调市国动办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组织防空机动指挥车赶赴灾区现场，为抗震救灾指挥提供通信保障。</w:t>
      </w:r>
    </w:p>
    <w:p w14:paraId="6B09F4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（5）交通运输。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建设局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等部门（单位）负责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协调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查明交通中断情况，修复被损毁交通设施。开辟绿色通道，保证救灾队伍、救灾车辆通行。</w:t>
      </w:r>
    </w:p>
    <w:p w14:paraId="04B40E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商务局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负责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协调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保障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成品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油稳定供应。</w:t>
      </w:r>
    </w:p>
    <w:p w14:paraId="70ECBE7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交警三大队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立即实施交通管制，确保交通畅通。</w:t>
      </w:r>
    </w:p>
    <w:p w14:paraId="6457F0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（6）电力保障。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经区供电中心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负责调集抢修队伍，迅速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组织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修复被损毁的电力设施和调度系统，优先抢修、恢复城市供电；启用应急发电设备，确保应急救援用电需求。</w:t>
      </w:r>
    </w:p>
    <w:p w14:paraId="2DE7BA6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（7）基础设施。建设局组织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协调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力量对灾区城镇供排水、燃气热力、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市政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道路等重要基础设施进行抢险抢修，尽快恢复“生命线”设施和基础设施功能。</w:t>
      </w:r>
    </w:p>
    <w:p w14:paraId="23B04B7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（8）灾害监测与防范。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配合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上级地震部门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组织震情监视，恢复监测设施、布设流动监测台网，强化地震监测，及时通报余震信息，加密震情会商，及时提供地震趋势判定意见和强余震防范建议。</w:t>
      </w:r>
    </w:p>
    <w:p w14:paraId="219267D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建设局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负责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协调气象部门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组织气象实时监测工作，及时通报重大气象变化，为地震现场应急处置和救援工作提供气象服务。</w:t>
      </w:r>
    </w:p>
    <w:p w14:paraId="1EA0E1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生态环境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局负责组织灾区、事故现场的大气、饮用水、土壤等环境质量的监测，指导处置因地震次生、衍生的突发环境事件。</w:t>
      </w:r>
    </w:p>
    <w:p w14:paraId="76631A4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社会工作部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负责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协调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海洋观测预报、预警监测及风险评估工作，及时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转发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地震引发的海洋灾害预警预报信息。</w:t>
      </w:r>
    </w:p>
    <w:p w14:paraId="5214D6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经济发展局（应急局）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建设局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生态环境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局等部门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单位按照职责加强对可能造成次生灾害的危险化学品设施、核技术利用设备设施、供储油设施、油气管线的检查、监测，防控和处置可能引发的爆炸、有毒有害物质和放射性物质泄漏（核设施除外）事件。</w:t>
      </w:r>
    </w:p>
    <w:p w14:paraId="5C5E84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自然资源和规划局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经区管理办公室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建设局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等部门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单位严密监视地震引发的矿山塌陷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水库垮坝等次生灾害，按照职责及时采取紧急处置措施。</w:t>
      </w:r>
    </w:p>
    <w:p w14:paraId="7A4D1F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自然资源和规划局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经区管理办公室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组织做好地质灾害的排查和监测、预警工作，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配合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处置地震引发的山体滑坡、崩塌、泥石流、地面塌陷等次生地质灾害及险情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，做好地质灾害应急救援的技术支撑工作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</w:p>
    <w:p w14:paraId="3D3B817D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6" w:lineRule="exact"/>
        <w:ind w:left="0" w:right="0" w:firstLine="61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消防救援大队及时扑救地震引发的火灾，配合相关部门严密监视毒气泄漏等次生灾害，配合相关部门排除有毒有害气体泄漏。</w:t>
      </w:r>
    </w:p>
    <w:p w14:paraId="60EA2D7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（9）治安维护。公安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局负责灾区治安管理和安全保卫工作，加强对党政机关等要害部门和金融单位、储备仓库、救灾物资集散点等重点目标的保卫。预防和打击各种违法犯罪活动，维护社会稳定。</w:t>
      </w:r>
    </w:p>
    <w:p w14:paraId="74190E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（10）新闻宣传。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党政办公室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、公安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局、消防救援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根据有关规定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适时召开新闻发布会，向社会公告震情、灾情以及地震应急救援的动态信息，及时掌握社会舆情，平息地震谣传、误传事件。</w:t>
      </w:r>
    </w:p>
    <w:p w14:paraId="6C7275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（11）涉外与台港澳事务。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党群工作部、商务局、科技创新局、社会工作部、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教育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局等部门（单位）按照职责分工，联络和妥善安置在灾区的国（境）外人员，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商务局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及时向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外办报告有关情况。</w:t>
      </w:r>
    </w:p>
    <w:p w14:paraId="5FBB17C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党群工作部、商务局、党政办公室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等部门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单位及时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协调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办理国（境）外救援队伍、专家和救灾物资入威手续事宜；做好国（境）外新闻记者到灾区采访的接待、管理、服务等事宜。</w:t>
      </w:r>
    </w:p>
    <w:p w14:paraId="5EACCE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strike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（12）社会动员。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党工委管委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动员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直有关部门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驻区有关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单位、非灾区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向灾区提供人力、财力、物力和技术等方面的支援。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党政办公室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组织动员志愿者参与灾区抗震救灾活动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社会工作部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负责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协调做好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解决遇难人员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遗体火化等殡葬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事宜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按照规定提请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红十字会发出提供救灾援助的呼吁，接受组织和个人提供的紧急救助。</w:t>
      </w:r>
    </w:p>
    <w:p w14:paraId="3A07950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（13）损失评估。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会同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经济发展局（应急局）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建设局、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自然资源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和规划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经区管理办公室、灾区镇街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等部门负责地震灾害调查和核实，快速评估地震灾害损失。</w:t>
      </w:r>
    </w:p>
    <w:p w14:paraId="4B4B53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（14）烈度评定。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配合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组织开展地震烈度评定工作。</w:t>
      </w:r>
    </w:p>
    <w:p w14:paraId="55FB2C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（15）恢复生产。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经济发展局（应急局）、建设局、商务局、社会工作部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、自然资源和规划局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经区管理办公室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灾区镇街、各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保险公司等有关部门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单位按照职责分工指导帮助受灾的工矿、商贸、农业、渔业等企业（单位）恢复生产和经营。</w:t>
      </w:r>
    </w:p>
    <w:p w14:paraId="408ADD9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</w:rPr>
        <w:t>3.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</w:rPr>
        <w:t>.5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镇街响应</w:t>
      </w:r>
    </w:p>
    <w:p w14:paraId="66225A9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灾区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迅速查灾报灾，组织抢险救灾，并上报先期采取的应急救援措施及抢险救灾需求。</w:t>
      </w:r>
    </w:p>
    <w:p w14:paraId="2343C7D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灾区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抗震救灾指挥机构迅速制定抢险救援方案，组织群众进行自救互救，疏散避震，安置灾民、分发救灾物品；组织当地各类救援队开展抢险救援。配合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派遣的各类地震灾害救援队伍、地震现场应急工作队、工程抢险救援队开展抗震救灾工作。</w:t>
      </w:r>
    </w:p>
    <w:p w14:paraId="16BC99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3.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>1</w:t>
      </w:r>
      <w:r>
        <w:rPr>
          <w:rFonts w:hint="default" w:ascii="Times New Roman" w:hAnsi="Times New Roman" w:eastAsia="仿宋_GB2312" w:cs="Times New Roman"/>
          <w:color w:val="auto"/>
        </w:rPr>
        <w:t>.6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响应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结束</w:t>
      </w:r>
    </w:p>
    <w:p w14:paraId="54BD80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当地震灾害事件紧急处置工作基本完成、次生灾害基本消除或得到有效控制、震情趋势判断结果认为近期没有再发生破坏性地震的可能、地震灾区生产生活和社会秩序基本稳定时，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指挥部宣布终止应急响应，抗震救灾工作转入灾后恢复重建阶段。</w:t>
      </w:r>
    </w:p>
    <w:p w14:paraId="73A0DC2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3.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>2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特别重大、重大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较大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地震灾害事件应急响应</w:t>
      </w:r>
    </w:p>
    <w:p w14:paraId="77B55A3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特别重大、重大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较大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地震灾害事件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发生后，指挥部各成员单位在进一步强化二级响应的基础上，视情采取以下一项或多项措施：</w:t>
      </w:r>
    </w:p>
    <w:p w14:paraId="7B4EDA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3.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</w:rPr>
        <w:t>.1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应急响应启动</w:t>
      </w:r>
    </w:p>
    <w:p w14:paraId="6C25A97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区指挥部办公室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迅速将震情上报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党工委管委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应急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监测中心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，同时通报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区指挥部成员单位，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提出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启动Ⅰ级应急响应的处置建议。</w:t>
      </w:r>
    </w:p>
    <w:p w14:paraId="3C22119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（2）报党工委管委同意后，由区指挥部启动Ⅰ级应急响应，领导全区抗震救灾先期处置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工作，而后在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上级防（抗）震救灾指挥部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的直接指挥下开展抗震救灾工作。</w:t>
      </w:r>
    </w:p>
    <w:p w14:paraId="20649DF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（3）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指挥部成员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单位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迅速采取必要的先期处置措施，防止灾情进一步扩大，防范二次或次生灾害。情况紧急时，可先行组织搜救被困人员。</w:t>
      </w:r>
    </w:p>
    <w:p w14:paraId="023A7B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3.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</w:rPr>
        <w:t>.2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灾情收集与报送</w:t>
      </w:r>
    </w:p>
    <w:p w14:paraId="712B85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（1）灾区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及时向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党工委管委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区指挥部办公室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报告震情、灾情等信息，情况紧急时也可同时越级上报。</w:t>
      </w:r>
    </w:p>
    <w:p w14:paraId="632C83E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（2）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指挥部成员单位应及时了解、收集和汇总本行业灾情信息，分析评估救灾需求，并及时报告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党工委管委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指挥部办公室。</w:t>
      </w:r>
    </w:p>
    <w:p w14:paraId="3336DD2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（3）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指挥部办公室配合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监测部门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对地震可能造成的灾害情况做出快速预评估。</w:t>
      </w:r>
    </w:p>
    <w:p w14:paraId="30652D3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（4）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指挥部成员单位及时将初步掌握的震情、灾情上报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党工委管委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指挥部办公室。</w:t>
      </w:r>
    </w:p>
    <w:p w14:paraId="770F64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（5）自然资源和规划局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经区管理办公室协调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利用航空遥感和卫星遥感手段，制作提供灾区影像和地图资料。</w:t>
      </w:r>
    </w:p>
    <w:p w14:paraId="3FA16C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3.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</w:rPr>
        <w:t>.3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应急部署</w:t>
      </w:r>
    </w:p>
    <w:p w14:paraId="57263DF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指挥部召开紧急会议，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或者参加上级会议后召开会议，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部署抗震救灾行动。</w:t>
      </w:r>
    </w:p>
    <w:p w14:paraId="0862F48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（1）分析、判断地震趋势，了解、掌握灾情并确定抗震救灾工作方案；派出现场工作队。配合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上级防（抗）震救灾指挥部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现场工作队迅速开展地震现场震情监测、受损监测设施抢修、地震烈度调查等工作。</w:t>
      </w:r>
    </w:p>
    <w:p w14:paraId="7F3516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（2）协调驻军和武警部队参加抢险救灾，派出地震灾害救援队伍等专业救援队伍。迅速组织抢救人员，组织有关单位和人员开展自救互救。</w:t>
      </w:r>
    </w:p>
    <w:p w14:paraId="736FBD0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（3）迅速组织实施紧急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医疗救援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指导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组织伤员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的医疗救治和卫生防疫工作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</w:p>
    <w:p w14:paraId="2D532B6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（4）组织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或者协助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抢修损毁的公路、水利、供水、供电、供热、燃气、通信等基础设施。</w:t>
      </w:r>
    </w:p>
    <w:p w14:paraId="6F56EBA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（5）启用应急避难场所，设置临时避难场所和救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物资供应点，提供救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物品、临时住所，及时转移和安置受灾群众，保障灾民食品、饮用水等基本生活必需品；根据震情、灾情变化适时向社会征用救援物资、装备和工具。</w:t>
      </w:r>
    </w:p>
    <w:p w14:paraId="14DA130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（6）迅速控制危险源，封锁危险场所，关闭人员密集场所，停止可能发生严重次生灾害的生产经营活动，划定可能引发次生灾害的危险区域和警戒区域，设置警戒标志，并采取紧急防控措施。</w:t>
      </w:r>
    </w:p>
    <w:p w14:paraId="02D114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（7）依法采取维持社会秩序、维护社会治安的紧急措施。</w:t>
      </w:r>
    </w:p>
    <w:p w14:paraId="4A5BAE9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（8）组织动员社会组织、志愿者及社会公众有序参与地震应急救援行动，开展灾后救助、心理援助等工作。</w:t>
      </w:r>
    </w:p>
    <w:p w14:paraId="45EFC6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（9）向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上级防（抗）震救灾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指挥部报告震情、灾情和先期应急处置工作情况。</w:t>
      </w:r>
    </w:p>
    <w:p w14:paraId="1BF22E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（10）适时召开新闻发布会，向社会公告震情、灾情以及地震应急与救援的动态信息。</w:t>
      </w:r>
    </w:p>
    <w:p w14:paraId="6AE52BB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3.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</w:rPr>
        <w:t>.4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应急处置</w:t>
      </w:r>
    </w:p>
    <w:p w14:paraId="5135B1A8">
      <w:pPr>
        <w:pStyle w:val="2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6" w:lineRule="exact"/>
        <w:ind w:left="0" w:right="0"/>
        <w:textAlignment w:val="auto"/>
        <w:rPr>
          <w:rFonts w:hint="default" w:ascii="Times New Roman" w:hAnsi="Times New Roman" w:eastAsia="仿宋_GB2312" w:cs="Times New Roman"/>
          <w:color w:val="auto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区指挥部、指挥部办公室及各成员单位在上级防（抗）震救灾指挥部统一指挥下开展以下工作。</w:t>
      </w:r>
    </w:p>
    <w:p w14:paraId="0136628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（1）紧急救援。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立即组织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级地震灾害救援队伍、综合性消防救援队伍等赶赴灾区开展生命搜救，组织抢救人员。</w:t>
      </w:r>
    </w:p>
    <w:p w14:paraId="4A3C322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（2）医疗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救治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卫生健康管理办公室负责组织指导现场伤病员的医疗救治、卫生防疫和心理援助等工作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。协调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上级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医疗卫生救援队和医疗机构开展伤员救治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工作。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配合有关部门做好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灾区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医疗仪器安全保障。有关部门迅速筹集和运送灾区急需药品药械，必要时，请求上级调拨救灾药品。</w:t>
      </w:r>
    </w:p>
    <w:p w14:paraId="0327B9B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（3）人员安置。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经济发展局（应急局）、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商务局、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应急管理中心、灾区镇街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等有关部门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单位迅速调配帐篷、衣被、食品等救灾物品。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指导协调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灾区镇街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启用应急避难场所、转移和安置灾民、分发救灾物资，保障基本生活需求。</w:t>
      </w:r>
    </w:p>
    <w:p w14:paraId="458FBB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教育分局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负责组织遭受破坏学校的学生转移和安置，适时组织学生复课，维持正常教学秩序。</w:t>
      </w:r>
    </w:p>
    <w:p w14:paraId="10B5645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建设局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负责组织力量对灾区民用住房和学校、医院等公共场所被震损的建设工程开展应急评估、鉴定，对建筑安全情况进行分类，并设置明显标识。</w:t>
      </w:r>
    </w:p>
    <w:p w14:paraId="2981FC1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（4）应急通信。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经济发展局（应急局）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各通信运营企业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按照职责负责修复被损毁的通信设施，启动应急通信保障，优先保障抗震救灾指挥通信畅通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为灾区应急救援活动提供无线电频率保障。</w:t>
      </w:r>
    </w:p>
    <w:p w14:paraId="6AB26F2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建设局协调市国动办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组织防空机动指挥车赶赴灾区现场，为抗震救灾指挥提供通信保障。</w:t>
      </w:r>
    </w:p>
    <w:p w14:paraId="1CDBDEE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right="0" w:rightChars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eastAsia" w:ascii="Times New Roman" w:hAnsi="Times New Roman" w:cs="Times New Roman"/>
          <w:color w:val="auto"/>
          <w:sz w:val="32"/>
          <w:szCs w:val="32"/>
          <w:lang w:eastAsia="zh-CN"/>
        </w:rPr>
        <w:t>（</w:t>
      </w:r>
      <w:r>
        <w:rPr>
          <w:rFonts w:hint="eastAsia" w:ascii="Times New Roman" w:hAnsi="Times New Roman" w:cs="Times New Roman"/>
          <w:color w:val="auto"/>
          <w:sz w:val="32"/>
          <w:szCs w:val="32"/>
          <w:lang w:val="en-US" w:eastAsia="zh-CN"/>
        </w:rPr>
        <w:t>5</w:t>
      </w:r>
      <w:r>
        <w:rPr>
          <w:rFonts w:hint="eastAsia" w:ascii="Times New Roman" w:hAnsi="Times New Roman" w:cs="Times New Roman"/>
          <w:color w:val="auto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交通运输。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建设局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负责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协调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查明交通中断情况，修复被损毁交通设施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开辟救灾绿色通道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</w:p>
    <w:p w14:paraId="4F40CFF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商务局组织力量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协调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保障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成品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油稳定供应。</w:t>
      </w:r>
    </w:p>
    <w:p w14:paraId="4FEED1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交警三大队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立即实施交通管制，确保交通畅通。</w:t>
      </w:r>
    </w:p>
    <w:p w14:paraId="03730C5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（6）电力保障。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经区供电中心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负责调集抢修队伍，迅速组织抢修电力设施，保障灾区电力供应；必要时，启用应急发电设备，确保应急救援用电需求。 </w:t>
      </w:r>
    </w:p>
    <w:p w14:paraId="2BD750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（7）基础设施。建设局</w:t>
      </w:r>
      <w:r>
        <w:rPr>
          <w:rFonts w:hint="default" w:ascii="Times New Roman" w:hAnsi="Times New Roman" w:eastAsia="仿宋_GB2312" w:cs="Times New Roman"/>
          <w:bCs/>
          <w:color w:val="auto"/>
          <w:sz w:val="32"/>
          <w:szCs w:val="32"/>
        </w:rPr>
        <w:t>组织力量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对灾区城镇供排水、燃气热力、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市政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道路等重要基础设施进行抢险抢修，尽快恢复“生命线”设施和基础设施功能。</w:t>
      </w:r>
    </w:p>
    <w:p w14:paraId="4495A0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（8）灾害监测与防范。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配合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监测部门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组织震情监视，恢复监测设施、布设流动监测台网，强化地震监测，及时通报余震信息，加密震情会商，及时提供地震趋势判定意见和强余震防范建议。</w:t>
      </w:r>
    </w:p>
    <w:p w14:paraId="19ACECA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strike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建设局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负责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协调气象部门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组织气象实时监测工作，及时通报气象变化，为抗震救灾提供服务。</w:t>
      </w:r>
    </w:p>
    <w:p w14:paraId="7D1A836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生态环境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局负责组织灾区、事故现场的大气、饮用水、土壤等环境质量的监测，指导处置因地震次生、衍生的突发环境事件。</w:t>
      </w:r>
    </w:p>
    <w:p w14:paraId="1B409B9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社会工作部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负责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协调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海洋观测预报、预警监测及风险评估工作，及时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转发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地震引发的海洋灾害预警预报信息。</w:t>
      </w:r>
    </w:p>
    <w:p w14:paraId="56D2DA5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经济发展局（应急局）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建设局、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生态环境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局等部门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单位按照职责加强对可能造成次生灾害的危险化学品设施、核技术利用设备设施、供储油设施、油气管线、水库堤坝的检查、监测，防控环境污染和次生灾害发生。</w:t>
      </w:r>
    </w:p>
    <w:p w14:paraId="25EE7D4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自然资源和规划局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经区管理办公室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组织做好地质灾害的排查和监测、预警工作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配合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处置地震引发的山体滑坡、崩塌、泥石流、地面塌陷等次生地质灾害及险情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，做好地质灾害应急救援的技术支撑工作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</w:p>
    <w:p w14:paraId="5F29B5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12" w:firstLineChars="200"/>
        <w:textAlignment w:val="auto"/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shd w:val="clear" w:color="auto" w:fill="FFFFFF"/>
        </w:rPr>
      </w:pPr>
      <w:r>
        <w:rPr>
          <w:rFonts w:hint="default" w:ascii="Times New Roman" w:hAnsi="Times New Roman" w:eastAsia="仿宋_GB2312" w:cs="Times New Roman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消防救援大队及时扑救地震引发的火灾，配合相关部门严密监视毒气泄漏等次生灾害，配合相关部门排除有毒有害气体泄漏。</w:t>
      </w:r>
    </w:p>
    <w:p w14:paraId="17F9FC1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（9）治安维护。公安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局负责灾区治安管理和安全保卫工作，加强对重点单位、要害部门的安全保卫。预防和打击各种违法犯罪活动，维护社会治安。</w:t>
      </w:r>
    </w:p>
    <w:p w14:paraId="475D1F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（10）新闻宣传。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党政办公室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、公安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局、消防救援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队适时召开新闻发布会，向社会公告震情、灾情以及地震应急救援的动态信息，及时掌握社会舆情，平息地震谣传、误传事件。</w:t>
      </w:r>
    </w:p>
    <w:p w14:paraId="1E14EB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（11）涉外与台港澳事务。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党群工作部、商务局、科技创新局、社会工作部、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教育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分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局等部门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单位按照职责分工，联络和妥善安置在灾区的国（境）外人员，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商务局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及时向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外办报告有关情况。</w:t>
      </w:r>
    </w:p>
    <w:p w14:paraId="2371FB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党群工作部、商务局、党政办公室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等部门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单位及时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协调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办理国（境）外救援队伍、专家和救灾物资入威手续事宜；做好国（境）外新闻记者到灾区采访的接待、管理、服务等事宜。</w:t>
      </w:r>
    </w:p>
    <w:p w14:paraId="7BE38E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（12）社会动员。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党工委管委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动员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直有关部门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驻区有关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单位、非灾区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向灾区提供人力、财力、物力和技术等方面的支援。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党政办公室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组织动员志愿者参与灾区抗震救灾活动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社会工作部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负责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协调做好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解决遇难人员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遗体火化等殡葬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事宜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按照规定提请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红十字会发出提供救灾援助的呼吁，接受组织和个人提供的紧急救助。</w:t>
      </w:r>
    </w:p>
    <w:p w14:paraId="20B31C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（13）损失评估。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会同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经济发展局（应急局）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建设局、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自然资源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eastAsia="zh-CN"/>
        </w:rPr>
        <w:t>和规划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</w:rPr>
        <w:t>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highlight w:val="none"/>
          <w:lang w:val="en-US" w:eastAsia="zh-CN"/>
        </w:rPr>
        <w:t>经区管理办公室、灾区镇街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等部门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单位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负责地震灾害调查和核实，快速评估地震灾害损失。</w:t>
      </w:r>
    </w:p>
    <w:p w14:paraId="068B88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（14）烈度评定。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配合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组织开展地震烈度评定工作。</w:t>
      </w:r>
    </w:p>
    <w:p w14:paraId="5B0F9A4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（15）恢复生产。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经济发展局（应急局）、建设局、商务局、社会工作部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、自然资源和规划局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经区管理办公室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灾区镇街、各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保险公司等有关部门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单位按照职责分工指导帮助受灾的工矿、商贸、农业、渔业等企业（单位）恢复生产和经营。</w:t>
      </w:r>
    </w:p>
    <w:p w14:paraId="758C59C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</w:pPr>
      <w:r>
        <w:rPr>
          <w:rFonts w:hint="default" w:ascii="Times New Roman" w:hAnsi="Times New Roman" w:eastAsia="仿宋_GB2312" w:cs="Times New Roman"/>
          <w:color w:val="auto"/>
        </w:rPr>
        <w:t>3.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</w:rPr>
        <w:t>.5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镇街响应</w:t>
      </w:r>
    </w:p>
    <w:p w14:paraId="0A85546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灾区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迅速查灾报灾，组织抢险救灾，并上报先期采取的应急救援措施及抢险救灾需求。</w:t>
      </w:r>
    </w:p>
    <w:p w14:paraId="023E15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灾区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抗震救灾指挥机构迅速制定抢险救援方案，组织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先期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抗震救灾工作。配合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地震现场应急工作队、地震灾害救援队伍、工程抢险救援队开展抗震救灾工作。</w:t>
      </w:r>
    </w:p>
    <w:p w14:paraId="21EA282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3.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>2</w:t>
      </w:r>
      <w:r>
        <w:rPr>
          <w:rFonts w:hint="default" w:ascii="Times New Roman" w:hAnsi="Times New Roman" w:eastAsia="仿宋_GB2312" w:cs="Times New Roman"/>
          <w:color w:val="auto"/>
        </w:rPr>
        <w:t>.6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响应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结束</w:t>
      </w:r>
    </w:p>
    <w:p w14:paraId="07E07EE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当地震灾害事件紧急处置工作基本完成、次生灾害基本消除或得到有效控制、震情趋势判断结果认为近期没有再发生破坏性地震的可能、地震灾区生产生活和社会秩序基本稳定时，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指挥部根据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防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抗）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震救灾指挥部命令，宣布终止应急响应，抗震救灾工作转入灾后恢复重建阶段。</w:t>
      </w:r>
    </w:p>
    <w:p w14:paraId="278510E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4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　应急保障</w:t>
      </w:r>
    </w:p>
    <w:p w14:paraId="587F91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4.1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信息监测预报与预防行动</w:t>
      </w:r>
    </w:p>
    <w:p w14:paraId="5DD94E4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区指挥部办公室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负责对地震信息进行监测、收集、处理和存贮，并将震情信息及时报送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党工委管委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应急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监测中心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，配合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监测部门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开展震情跟踪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进行震情会商，及时报告预测预报意见。各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负责组织地震宏观异常信息的收集、调查核实和上报。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指挥部成员单位按照工作职能和任务分工，进一步强化地震监视跟踪、灾害防御措施和应急救援准备，保持社会安定。</w:t>
      </w:r>
    </w:p>
    <w:p w14:paraId="54CB40F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4.2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地震灾害损失预评估工作</w:t>
      </w:r>
    </w:p>
    <w:p w14:paraId="7FD553D7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区指挥部办公室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配合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监测部门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及有关部门开展地震灾害损失预评估工作，为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党工委管委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应急处置指挥决策提供技术支撑。</w:t>
      </w:r>
    </w:p>
    <w:p w14:paraId="01A0C1A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4.3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资金与装备物资</w:t>
      </w:r>
    </w:p>
    <w:p w14:paraId="5170B22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指挥部成员单位依据有关法律法规要求，按照事权与支出责任相匹配的原则，安排应急救援资金预算，建立救灾资金保障机制。</w:t>
      </w:r>
    </w:p>
    <w:p w14:paraId="797C94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经济发展局（应急局）、建设局、商务局、应急管理中心、消防救援大队、各镇街等有关部门、单位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按照有关规定储备抗震救灾物资、救援装备，建立各类装备、物资调用机制；加强各级各类应急救援队伍装备配备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  <w:lang w:val="en-US" w:eastAsia="zh-CN"/>
        </w:rPr>
        <w:t>将民兵应急装备纳入应急管理保障体系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u w:val="none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区指挥部办公室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会同有关部门调查统计社会现有大型救援装备、设备，建立地震应急救援资源数据库（主要包括大型救援装备及特种救援设备的性能、数量、存放位置、产权等信息），以备调用和征用。</w:t>
      </w:r>
    </w:p>
    <w:p w14:paraId="1E0D62A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4.4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应急救援队伍</w:t>
      </w:r>
    </w:p>
    <w:p w14:paraId="3909231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指挥部成员单位加强各级各类地震应急救援队、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医疗救援队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、工种抢险抢修专业队和志愿者队伍等社会救援力量建设，建立地震应急救援技术培训和演练工作机制，提高救援技术水平和能力。</w:t>
      </w:r>
    </w:p>
    <w:p w14:paraId="43B3714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4.5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应急避难场所</w:t>
      </w:r>
    </w:p>
    <w:p w14:paraId="69C0F32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成员单位要结合旧城改造和新区建设，规划建设并利用现有的公园、绿地、广场、体育场馆、停车场、学校操场、人防疏散基地以及其他空地设立满足应急避险需求的应急避难场所，制定应急疏散方案，并组织疏散演练。</w:t>
      </w:r>
    </w:p>
    <w:p w14:paraId="3C8117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4.6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技术系统</w:t>
      </w:r>
    </w:p>
    <w:p w14:paraId="5A27BF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指挥部成员单位配合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上级地震监测部门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推进应急指挥技术系统建设，完善群测群防网络和灾情速报网络，并加强维护与管理，确保在紧急情况下，信息畅通，反应迅速，指挥技术系统运行正常。</w:t>
      </w:r>
    </w:p>
    <w:p w14:paraId="0DC867D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4.7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科技支撑</w:t>
      </w:r>
    </w:p>
    <w:p w14:paraId="3F3D5D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科技创新局、应急管理中心、各镇街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以及科研机构应当积极开展地震预防预报、应急救援和应急管理、救援装备等科学技术研究，加大科技投入，逐步提高地震应急处置水平和能力。</w:t>
      </w:r>
    </w:p>
    <w:p w14:paraId="1AB465C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4.8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宣传、培训和演习</w:t>
      </w:r>
    </w:p>
    <w:p w14:paraId="5FD395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区指挥部成员单位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应加强协作，不断开展防震减灾科学知识普及和宣传教育活动，加强应急培训，增强社会公众的地震应急意识，提高防震避震、自救互救能力。</w:t>
      </w:r>
    </w:p>
    <w:p w14:paraId="1D5A550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区指挥部成员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单位应结合各自的地震应急救援任务，协调整合各种应急救援力量，开展各种形式的地震应急救援演练。</w:t>
      </w:r>
    </w:p>
    <w:p w14:paraId="6F66C90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黑体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5　</w:t>
      </w:r>
      <w:r>
        <w:rPr>
          <w:rFonts w:hint="default" w:ascii="Times New Roman" w:hAnsi="Times New Roman" w:eastAsia="黑体" w:cs="Times New Roman"/>
          <w:color w:val="auto"/>
          <w:sz w:val="32"/>
          <w:szCs w:val="32"/>
        </w:rPr>
        <w:t>其它地震灾害处置</w:t>
      </w:r>
    </w:p>
    <w:p w14:paraId="79FB18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5.1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强有感地震应急</w:t>
      </w:r>
    </w:p>
    <w:p w14:paraId="4D20DCA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内陆或近海（海岸线外推50公里以内）发生3.0级≤M＜4.0级强有感地震后，指挥部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党工委管委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应急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监测中心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报告震情。</w:t>
      </w:r>
    </w:p>
    <w:p w14:paraId="4D5389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震区所在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抗震救灾指挥机构领导、指挥、督导本辖区地震应急准备和地震灾害抢险救援工作。地震发生后，立即按照预案启动相应应急响应开展地震应急工作，处置地震灾害，及时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向区指挥部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报告震情、灾情信息、社会影响和抗震救灾进展情况。</w:t>
      </w:r>
    </w:p>
    <w:p w14:paraId="1206A29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区指挥部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派出地震现场应急工作队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指导镇街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抗震救灾指挥机构开展应急工作。必要时，请求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上级部门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派出地震现场应急工作队给予指导。</w:t>
      </w:r>
    </w:p>
    <w:p w14:paraId="3642FC8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5.2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平息地震谣传、误传</w:t>
      </w:r>
    </w:p>
    <w:p w14:paraId="3D55A80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当某地出现地震谣传、误传事件时，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区指挥部成员单位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应当及时将地震谣传、误传事件报告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区指挥部办公室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区指挥部办公室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及时上报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市指挥部办公室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。根据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市指挥部办公室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提出的平息地震谣传、误传事件的意见和建议，指导当地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开展调查、宣传和稳定社会的工作。</w:t>
      </w:r>
    </w:p>
    <w:p w14:paraId="742135D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谣传、误传发生地的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镇街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应当组织做好谣传、误传事件的调查和地震科普、新闻宣传工作，采取措施及时平息地震谣传、误传事件。</w:t>
      </w:r>
    </w:p>
    <w:p w14:paraId="3A939CB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5.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>3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邻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或海域地震应急</w:t>
      </w:r>
    </w:p>
    <w:p w14:paraId="70224AC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与我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相邻的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或海域发生地震灾害影响我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，建（构）筑物遭受破坏和人员伤亡时，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区指挥部办公室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根据震情、灾情的危害和影响程度，建议启动相应级别的应急响应。</w:t>
      </w:r>
    </w:p>
    <w:p w14:paraId="68F414F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方正黑体_GBK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6</w:t>
      </w:r>
      <w:r>
        <w:rPr>
          <w:rFonts w:hint="default" w:ascii="Times New Roman" w:hAnsi="Times New Roman" w:eastAsia="方正黑体_GBK" w:cs="Times New Roman"/>
          <w:color w:val="auto"/>
          <w:sz w:val="32"/>
          <w:szCs w:val="32"/>
        </w:rPr>
        <w:t>　附则</w:t>
      </w:r>
    </w:p>
    <w:p w14:paraId="72FD521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6.1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地震灾害分级与应急响应级别</w:t>
      </w:r>
    </w:p>
    <w:p w14:paraId="0873A07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地震灾害事件分为特别重大、重大、较大和一般四个级别，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我区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特别重大、重大、较大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地震灾害事件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响应级别为Ⅰ级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一般地震灾害事件响应级别为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。</w:t>
      </w:r>
    </w:p>
    <w:p w14:paraId="345189F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6.1.1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特别重大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重大、较大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地震灾害</w:t>
      </w:r>
    </w:p>
    <w:p w14:paraId="674673B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应对特别重大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重大、较大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地震灾害，启动Ⅰ级响应；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指挥部在国务院抗震救灾指挥部、省防震救灾指挥部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、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市抗震救灾指挥部统一领导下组织开展灾区抗震救灾工作。</w:t>
      </w:r>
    </w:p>
    <w:p w14:paraId="6120200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6.1.2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一般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地震灾害</w:t>
      </w:r>
    </w:p>
    <w:p w14:paraId="46EBFC5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strike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应对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一般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地震灾害，启动Ⅱ级响应；在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上级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防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抗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）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震救灾指挥部指导下，由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指挥部领导、指挥和协调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灾区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抗震救灾工作。</w:t>
      </w:r>
    </w:p>
    <w:p w14:paraId="317E9E1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6.1.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>3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　地震灾害分级标准及响应级别（见表一）</w:t>
      </w:r>
    </w:p>
    <w:p w14:paraId="747869C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 w:val="0"/>
        <w:spacing w:line="576" w:lineRule="exact"/>
        <w:ind w:left="0" w:right="0"/>
        <w:jc w:val="center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表一 地震灾害分级标准及响应级别表</w:t>
      </w:r>
    </w:p>
    <w:tbl>
      <w:tblPr>
        <w:tblStyle w:val="22"/>
        <w:tblW w:w="0" w:type="auto"/>
        <w:tblInd w:w="6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943"/>
        <w:gridCol w:w="1347"/>
        <w:gridCol w:w="1388"/>
        <w:gridCol w:w="825"/>
        <w:gridCol w:w="1737"/>
        <w:gridCol w:w="1188"/>
        <w:gridCol w:w="1350"/>
      </w:tblGrid>
      <w:tr w14:paraId="3BA9434D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943" w:type="dxa"/>
            <w:vMerge w:val="restart"/>
            <w:tcBorders>
              <w:top w:val="single" w:color="000000" w:sz="2" w:space="0"/>
              <w:bottom w:val="nil"/>
            </w:tcBorders>
            <w:noWrap w:val="0"/>
            <w:vAlign w:val="center"/>
          </w:tcPr>
          <w:p w14:paraId="6ACA26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ind w:right="85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3"/>
                <w:sz w:val="20"/>
                <w:szCs w:val="20"/>
              </w:rPr>
              <w:t>地震灾害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11"/>
                <w:sz w:val="20"/>
                <w:szCs w:val="20"/>
              </w:rPr>
              <w:t>等级</w:t>
            </w:r>
          </w:p>
        </w:tc>
        <w:tc>
          <w:tcPr>
            <w:tcW w:w="3560" w:type="dxa"/>
            <w:gridSpan w:val="3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4E8F688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99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2"/>
                <w:sz w:val="20"/>
                <w:szCs w:val="20"/>
              </w:rPr>
              <w:t>分级标准</w:t>
            </w:r>
          </w:p>
        </w:tc>
        <w:tc>
          <w:tcPr>
            <w:tcW w:w="1737" w:type="dxa"/>
            <w:vMerge w:val="restart"/>
            <w:tcBorders>
              <w:top w:val="single" w:color="000000" w:sz="2" w:space="0"/>
              <w:bottom w:val="nil"/>
            </w:tcBorders>
            <w:noWrap w:val="0"/>
            <w:vAlign w:val="center"/>
          </w:tcPr>
          <w:p w14:paraId="5839C17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pacing w:val="-2"/>
                <w:position w:val="10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2"/>
                <w:position w:val="10"/>
                <w:sz w:val="20"/>
                <w:szCs w:val="20"/>
                <w:lang w:val="en-US" w:eastAsia="zh-CN"/>
              </w:rPr>
              <w:t>应急响应</w:t>
            </w:r>
          </w:p>
          <w:p w14:paraId="107897AF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2"/>
                <w:position w:val="10"/>
                <w:sz w:val="20"/>
                <w:szCs w:val="20"/>
                <w:lang w:val="en-US" w:eastAsia="zh-CN"/>
              </w:rPr>
              <w:t>初判标准</w:t>
            </w:r>
          </w:p>
        </w:tc>
        <w:tc>
          <w:tcPr>
            <w:tcW w:w="1188" w:type="dxa"/>
            <w:vMerge w:val="restart"/>
            <w:tcBorders>
              <w:top w:val="single" w:color="000000" w:sz="2" w:space="0"/>
              <w:bottom w:val="nil"/>
            </w:tcBorders>
            <w:noWrap w:val="0"/>
            <w:vAlign w:val="center"/>
          </w:tcPr>
          <w:p w14:paraId="2780841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4"/>
                <w:sz w:val="20"/>
                <w:szCs w:val="20"/>
              </w:rPr>
              <w:t>响应级别</w:t>
            </w:r>
          </w:p>
        </w:tc>
        <w:tc>
          <w:tcPr>
            <w:tcW w:w="1350" w:type="dxa"/>
            <w:vMerge w:val="restart"/>
            <w:tcBorders>
              <w:top w:val="single" w:color="000000" w:sz="2" w:space="0"/>
              <w:bottom w:val="nil"/>
            </w:tcBorders>
            <w:noWrap w:val="0"/>
            <w:vAlign w:val="center"/>
          </w:tcPr>
          <w:p w14:paraId="4187E9FC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ind w:right="201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pacing w:val="-2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2"/>
                <w:sz w:val="20"/>
                <w:szCs w:val="20"/>
              </w:rPr>
              <w:t>应急处置</w:t>
            </w:r>
          </w:p>
          <w:p w14:paraId="3F82A47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ind w:right="201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sz w:val="20"/>
                <w:szCs w:val="20"/>
              </w:rPr>
              <w:t>工作主体</w:t>
            </w:r>
          </w:p>
        </w:tc>
      </w:tr>
      <w:tr w14:paraId="32C918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50" w:hRule="atLeast"/>
        </w:trPr>
        <w:tc>
          <w:tcPr>
            <w:tcW w:w="943" w:type="dxa"/>
            <w:vMerge w:val="continue"/>
            <w:tcBorders>
              <w:top w:val="nil"/>
              <w:bottom w:val="single" w:color="000000" w:sz="2" w:space="0"/>
            </w:tcBorders>
            <w:noWrap w:val="0"/>
            <w:vAlign w:val="center"/>
          </w:tcPr>
          <w:p w14:paraId="502BCB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</w:rPr>
            </w:pPr>
          </w:p>
        </w:tc>
        <w:tc>
          <w:tcPr>
            <w:tcW w:w="1347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4D5808F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24" w:line="2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2"/>
                <w:sz w:val="20"/>
                <w:szCs w:val="20"/>
              </w:rPr>
              <w:t>人员死亡</w:t>
            </w:r>
          </w:p>
          <w:p w14:paraId="5FA158B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119" w:line="200" w:lineRule="exact"/>
              <w:ind w:firstLine="131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  <w:t>(含失踪)N</w:t>
            </w:r>
          </w:p>
          <w:p w14:paraId="5551C90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before="82" w:line="2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18"/>
                <w:szCs w:val="18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9"/>
                <w:w w:val="113"/>
                <w:sz w:val="18"/>
                <w:szCs w:val="18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9"/>
                <w:w w:val="113"/>
                <w:sz w:val="18"/>
                <w:szCs w:val="18"/>
              </w:rPr>
              <w:t>单位:人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9"/>
                <w:w w:val="113"/>
                <w:sz w:val="18"/>
                <w:szCs w:val="18"/>
                <w:lang w:eastAsia="zh-CN"/>
              </w:rPr>
              <w:t>）</w:t>
            </w:r>
          </w:p>
        </w:tc>
        <w:tc>
          <w:tcPr>
            <w:tcW w:w="138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2B8C368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83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3"/>
                <w:position w:val="9"/>
                <w:sz w:val="20"/>
                <w:szCs w:val="20"/>
                <w:lang w:val="en-US" w:eastAsia="zh-CN"/>
              </w:rPr>
              <w:t>紧急安置人员</w:t>
            </w:r>
          </w:p>
        </w:tc>
        <w:tc>
          <w:tcPr>
            <w:tcW w:w="825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560E372B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83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2"/>
                <w:position w:val="9"/>
                <w:sz w:val="20"/>
                <w:szCs w:val="20"/>
                <w:lang w:val="en-US" w:eastAsia="zh-CN"/>
              </w:rPr>
              <w:t>地震烈度</w:t>
            </w:r>
          </w:p>
        </w:tc>
        <w:tc>
          <w:tcPr>
            <w:tcW w:w="1737" w:type="dxa"/>
            <w:vMerge w:val="continue"/>
            <w:tcBorders>
              <w:top w:val="nil"/>
              <w:bottom w:val="single" w:color="000000" w:sz="2" w:space="0"/>
            </w:tcBorders>
            <w:noWrap w:val="0"/>
            <w:vAlign w:val="center"/>
          </w:tcPr>
          <w:p w14:paraId="7E58C9E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</w:rPr>
            </w:pPr>
          </w:p>
        </w:tc>
        <w:tc>
          <w:tcPr>
            <w:tcW w:w="1188" w:type="dxa"/>
            <w:vMerge w:val="continue"/>
            <w:tcBorders>
              <w:top w:val="nil"/>
              <w:bottom w:val="single" w:color="000000" w:sz="2" w:space="0"/>
            </w:tcBorders>
            <w:noWrap w:val="0"/>
            <w:vAlign w:val="center"/>
          </w:tcPr>
          <w:p w14:paraId="693F5AC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</w:rPr>
            </w:pPr>
          </w:p>
        </w:tc>
        <w:tc>
          <w:tcPr>
            <w:tcW w:w="1350" w:type="dxa"/>
            <w:vMerge w:val="continue"/>
            <w:tcBorders>
              <w:top w:val="nil"/>
              <w:bottom w:val="single" w:color="000000" w:sz="2" w:space="0"/>
            </w:tcBorders>
            <w:noWrap w:val="0"/>
            <w:vAlign w:val="center"/>
          </w:tcPr>
          <w:p w14:paraId="42CDDB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</w:rPr>
            </w:pPr>
          </w:p>
        </w:tc>
      </w:tr>
      <w:tr w14:paraId="48BEB8EB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943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2E66776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4" w:line="300" w:lineRule="exact"/>
              <w:ind w:right="85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2"/>
                <w:sz w:val="20"/>
                <w:szCs w:val="20"/>
              </w:rPr>
              <w:t>特别重大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3"/>
                <w:sz w:val="20"/>
                <w:szCs w:val="20"/>
              </w:rPr>
              <w:t>地震灾害</w:t>
            </w:r>
          </w:p>
        </w:tc>
        <w:tc>
          <w:tcPr>
            <w:tcW w:w="1347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190FBE8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6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"/>
                <w:sz w:val="20"/>
                <w:szCs w:val="20"/>
              </w:rPr>
              <w:t>N≥300</w:t>
            </w:r>
          </w:p>
        </w:tc>
        <w:tc>
          <w:tcPr>
            <w:tcW w:w="138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5D14F6E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44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position w:val="9"/>
                <w:sz w:val="20"/>
                <w:szCs w:val="20"/>
              </w:rPr>
              <w:t>10万人以上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position w:val="9"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position w:val="9"/>
                <w:sz w:val="20"/>
                <w:szCs w:val="20"/>
                <w:lang w:val="en-US" w:eastAsia="zh-CN"/>
              </w:rPr>
              <w:t>含）</w:t>
            </w:r>
          </w:p>
        </w:tc>
        <w:tc>
          <w:tcPr>
            <w:tcW w:w="825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523B34D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6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  <w:t>≥Ⅸ</w:t>
            </w:r>
          </w:p>
        </w:tc>
        <w:tc>
          <w:tcPr>
            <w:tcW w:w="1737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26B39B1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"/>
                <w:sz w:val="20"/>
                <w:szCs w:val="20"/>
              </w:rPr>
              <w:t>M≥7.0级</w:t>
            </w:r>
          </w:p>
        </w:tc>
        <w:tc>
          <w:tcPr>
            <w:tcW w:w="1188" w:type="dxa"/>
            <w:vMerge w:val="restart"/>
            <w:tcBorders>
              <w:top w:val="single" w:color="000000" w:sz="2" w:space="0"/>
            </w:tcBorders>
            <w:noWrap w:val="0"/>
            <w:vAlign w:val="center"/>
          </w:tcPr>
          <w:p w14:paraId="70F2DA11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2"/>
                <w:sz w:val="20"/>
                <w:szCs w:val="20"/>
              </w:rPr>
              <w:t>Ⅰ级响应</w:t>
            </w:r>
          </w:p>
        </w:tc>
        <w:tc>
          <w:tcPr>
            <w:tcW w:w="135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001F7E3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34" w:line="300" w:lineRule="exact"/>
              <w:ind w:right="81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2"/>
                <w:sz w:val="20"/>
                <w:szCs w:val="20"/>
              </w:rPr>
              <w:t>省防震救灾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3"/>
                <w:sz w:val="20"/>
                <w:szCs w:val="20"/>
              </w:rPr>
              <w:t>指挥部</w:t>
            </w:r>
          </w:p>
        </w:tc>
      </w:tr>
      <w:tr w14:paraId="4768DF84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</w:trPr>
        <w:tc>
          <w:tcPr>
            <w:tcW w:w="943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5A288F2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ind w:right="85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0"/>
                <w:sz w:val="20"/>
                <w:szCs w:val="20"/>
              </w:rPr>
              <w:t>重大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3"/>
                <w:sz w:val="20"/>
                <w:szCs w:val="20"/>
              </w:rPr>
              <w:t>地震灾害</w:t>
            </w:r>
          </w:p>
        </w:tc>
        <w:tc>
          <w:tcPr>
            <w:tcW w:w="1347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49284FB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2"/>
                <w:sz w:val="20"/>
                <w:szCs w:val="20"/>
              </w:rPr>
              <w:t>50≤N&lt;300</w:t>
            </w:r>
          </w:p>
        </w:tc>
        <w:tc>
          <w:tcPr>
            <w:tcW w:w="138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398A0BD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179" w:line="300" w:lineRule="exact"/>
              <w:ind w:right="304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8"/>
                <w:sz w:val="20"/>
                <w:szCs w:val="20"/>
              </w:rPr>
              <w:t>10万人以下,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5"/>
                <w:sz w:val="20"/>
                <w:szCs w:val="20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10"/>
                <w:w w:val="98"/>
                <w:sz w:val="20"/>
                <w:szCs w:val="20"/>
              </w:rPr>
              <w:t>0.5万人以上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10"/>
                <w:w w:val="98"/>
                <w:sz w:val="20"/>
                <w:szCs w:val="20"/>
                <w:lang w:eastAsia="zh-CN"/>
              </w:rPr>
              <w:t>（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10"/>
                <w:w w:val="103"/>
                <w:sz w:val="20"/>
                <w:szCs w:val="20"/>
              </w:rPr>
              <w:t>含)</w:t>
            </w:r>
          </w:p>
        </w:tc>
        <w:tc>
          <w:tcPr>
            <w:tcW w:w="825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4B02EEC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</w:rPr>
            </w:pPr>
          </w:p>
          <w:p w14:paraId="4CA6984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3"/>
                <w:sz w:val="20"/>
                <w:szCs w:val="20"/>
              </w:rPr>
              <w:t>Ⅶ～Ⅷ</w:t>
            </w:r>
          </w:p>
        </w:tc>
        <w:tc>
          <w:tcPr>
            <w:tcW w:w="1737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772B1008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position w:val="10"/>
                <w:sz w:val="20"/>
                <w:szCs w:val="20"/>
              </w:rPr>
              <w:t>6.0级≤M&lt;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position w:val="10"/>
                <w:sz w:val="20"/>
                <w:szCs w:val="20"/>
                <w:lang w:val="en-US" w:eastAsia="zh-CN"/>
              </w:rPr>
              <w:t>7.0级</w:t>
            </w:r>
          </w:p>
        </w:tc>
        <w:tc>
          <w:tcPr>
            <w:tcW w:w="1188" w:type="dxa"/>
            <w:vMerge w:val="continue"/>
            <w:noWrap w:val="0"/>
            <w:vAlign w:val="center"/>
          </w:tcPr>
          <w:p w14:paraId="08058066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ind w:firstLine="197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3616932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ind w:right="81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2"/>
                <w:sz w:val="20"/>
                <w:szCs w:val="20"/>
              </w:rPr>
              <w:t>省防震救灾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3"/>
                <w:sz w:val="20"/>
                <w:szCs w:val="20"/>
              </w:rPr>
              <w:t>指挥部</w:t>
            </w:r>
          </w:p>
        </w:tc>
      </w:tr>
      <w:tr w14:paraId="7F9E56C2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27" w:hRule="atLeast"/>
        </w:trPr>
        <w:tc>
          <w:tcPr>
            <w:tcW w:w="943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1B386D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ind w:right="85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0"/>
                <w:sz w:val="20"/>
                <w:szCs w:val="20"/>
              </w:rPr>
              <w:t>较大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3"/>
                <w:sz w:val="20"/>
                <w:szCs w:val="20"/>
              </w:rPr>
              <w:t>地震灾害</w:t>
            </w:r>
          </w:p>
        </w:tc>
        <w:tc>
          <w:tcPr>
            <w:tcW w:w="1347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129E75EA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sz w:val="20"/>
                <w:szCs w:val="20"/>
              </w:rPr>
              <w:t>10≤N&lt;50</w:t>
            </w:r>
          </w:p>
        </w:tc>
        <w:tc>
          <w:tcPr>
            <w:tcW w:w="138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69FDAF17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sz w:val="20"/>
                <w:szCs w:val="20"/>
              </w:rPr>
              <w:t>0.5万人以下</w:t>
            </w:r>
          </w:p>
        </w:tc>
        <w:tc>
          <w:tcPr>
            <w:tcW w:w="825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5220F015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  <w:t>Ⅵ</w:t>
            </w:r>
          </w:p>
        </w:tc>
        <w:tc>
          <w:tcPr>
            <w:tcW w:w="1737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511074D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position w:val="8"/>
                <w:sz w:val="20"/>
                <w:szCs w:val="20"/>
              </w:rPr>
              <w:t>5.0级≤M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position w:val="10"/>
                <w:sz w:val="20"/>
                <w:szCs w:val="20"/>
              </w:rPr>
              <w:t>&lt;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position w:val="10"/>
                <w:sz w:val="20"/>
                <w:szCs w:val="20"/>
                <w:lang w:val="en-US" w:eastAsia="zh-CN"/>
              </w:rPr>
              <w:t>6.0级</w:t>
            </w:r>
          </w:p>
        </w:tc>
        <w:tc>
          <w:tcPr>
            <w:tcW w:w="1188" w:type="dxa"/>
            <w:vMerge w:val="continue"/>
            <w:tcBorders>
              <w:bottom w:val="single" w:color="000000" w:sz="2" w:space="0"/>
            </w:tcBorders>
            <w:noWrap w:val="0"/>
            <w:vAlign w:val="center"/>
          </w:tcPr>
          <w:p w14:paraId="50FE77E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ind w:firstLine="197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</w:p>
        </w:tc>
        <w:tc>
          <w:tcPr>
            <w:tcW w:w="135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3F1D10B0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4" w:line="300" w:lineRule="exact"/>
              <w:ind w:right="103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3"/>
                <w:sz w:val="20"/>
                <w:szCs w:val="20"/>
              </w:rPr>
              <w:t>市抗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2"/>
                <w:sz w:val="20"/>
                <w:szCs w:val="20"/>
              </w:rPr>
              <w:t>震救灾指挥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11"/>
                <w:sz w:val="20"/>
                <w:szCs w:val="20"/>
              </w:rPr>
              <w:t>部</w:t>
            </w:r>
          </w:p>
        </w:tc>
      </w:tr>
      <w:tr w14:paraId="59B1358E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338" w:hRule="atLeast"/>
        </w:trPr>
        <w:tc>
          <w:tcPr>
            <w:tcW w:w="943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4664329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ind w:right="85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7"/>
                <w:sz w:val="20"/>
                <w:szCs w:val="20"/>
              </w:rPr>
              <w:t>一 般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3"/>
                <w:sz w:val="20"/>
                <w:szCs w:val="20"/>
              </w:rPr>
              <w:t>地震灾害</w:t>
            </w:r>
          </w:p>
        </w:tc>
        <w:tc>
          <w:tcPr>
            <w:tcW w:w="3560" w:type="dxa"/>
            <w:gridSpan w:val="3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7CBF6BF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73" w:line="300" w:lineRule="exact"/>
              <w:ind w:right="238"/>
              <w:jc w:val="both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-1"/>
                <w:sz w:val="20"/>
                <w:szCs w:val="20"/>
              </w:rPr>
              <w:t>N&lt;10,地震灾害指标均明显小于较大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8"/>
                <w:sz w:val="20"/>
                <w:szCs w:val="20"/>
              </w:rPr>
              <w:t xml:space="preserve">  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-4"/>
                <w:sz w:val="20"/>
                <w:szCs w:val="20"/>
              </w:rPr>
              <w:t>地震灾害标准,但部分建筑物有一定损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4"/>
                <w:sz w:val="20"/>
                <w:szCs w:val="20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sz w:val="20"/>
                <w:szCs w:val="20"/>
              </w:rPr>
              <w:t>坏,造成较大范围群众恐慌。</w:t>
            </w:r>
          </w:p>
        </w:tc>
        <w:tc>
          <w:tcPr>
            <w:tcW w:w="1737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28DA170D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position w:val="8"/>
                <w:sz w:val="20"/>
                <w:szCs w:val="20"/>
              </w:rPr>
              <w:t>4.0级≤M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position w:val="10"/>
                <w:sz w:val="20"/>
                <w:szCs w:val="20"/>
              </w:rPr>
              <w:t>&lt;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position w:val="10"/>
                <w:sz w:val="20"/>
                <w:szCs w:val="20"/>
                <w:lang w:val="en-US" w:eastAsia="zh-CN"/>
              </w:rPr>
              <w:t>5.0级</w:t>
            </w:r>
          </w:p>
        </w:tc>
        <w:tc>
          <w:tcPr>
            <w:tcW w:w="1188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7FCAE86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65" w:line="300" w:lineRule="exact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2"/>
                <w:sz w:val="20"/>
                <w:szCs w:val="20"/>
              </w:rPr>
              <w:t>Ⅱ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sz w:val="20"/>
                <w:szCs w:val="20"/>
              </w:rPr>
              <w:t>级响应</w:t>
            </w:r>
          </w:p>
        </w:tc>
        <w:tc>
          <w:tcPr>
            <w:tcW w:w="1350" w:type="dxa"/>
            <w:tcBorders>
              <w:top w:val="single" w:color="000000" w:sz="2" w:space="0"/>
              <w:bottom w:val="single" w:color="000000" w:sz="2" w:space="0"/>
            </w:tcBorders>
            <w:noWrap w:val="0"/>
            <w:vAlign w:val="center"/>
          </w:tcPr>
          <w:p w14:paraId="5BFE7104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75" w:line="300" w:lineRule="exact"/>
              <w:ind w:right="136"/>
              <w:jc w:val="center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lang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sz w:val="20"/>
                <w:szCs w:val="20"/>
                <w:lang w:val="en-US" w:eastAsia="zh-CN"/>
              </w:rPr>
              <w:t>区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sz w:val="20"/>
                <w:szCs w:val="20"/>
              </w:rPr>
              <w:t>抗震救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2"/>
                <w:sz w:val="20"/>
                <w:szCs w:val="20"/>
              </w:rPr>
              <w:t>灾指挥</w:t>
            </w:r>
            <w:r>
              <w:rPr>
                <w:rFonts w:hint="eastAsia" w:ascii="仿宋_GB2312" w:hAnsi="仿宋_GB2312" w:eastAsia="仿宋_GB2312" w:cs="仿宋_GB2312"/>
                <w:color w:val="auto"/>
                <w:spacing w:val="2"/>
                <w:sz w:val="20"/>
                <w:szCs w:val="20"/>
                <w:lang w:val="en-US" w:eastAsia="zh-CN"/>
              </w:rPr>
              <w:t>部</w:t>
            </w:r>
          </w:p>
        </w:tc>
      </w:tr>
      <w:tr w14:paraId="1A00FEE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114" w:hRule="atLeast"/>
        </w:trPr>
        <w:tc>
          <w:tcPr>
            <w:tcW w:w="8778" w:type="dxa"/>
            <w:gridSpan w:val="7"/>
            <w:tcBorders>
              <w:top w:val="single" w:color="000000" w:sz="2" w:space="0"/>
              <w:bottom w:val="single" w:color="000000" w:sz="2" w:space="0"/>
            </w:tcBorders>
            <w:noWrap w:val="0"/>
            <w:vAlign w:val="top"/>
          </w:tcPr>
          <w:p w14:paraId="7959AB82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3" w:line="300" w:lineRule="exact"/>
              <w:ind w:left="693" w:right="723" w:hanging="609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2"/>
                <w:sz w:val="20"/>
                <w:szCs w:val="20"/>
              </w:rPr>
              <w:t>说明:1.分级标准中,达到其中之一即达到相应等级。</w:t>
            </w:r>
            <w:r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</w:rPr>
              <w:t xml:space="preserve">     </w:t>
            </w:r>
          </w:p>
          <w:p w14:paraId="70586CA3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213" w:line="300" w:lineRule="exact"/>
              <w:ind w:right="723" w:firstLine="594" w:firstLineChars="300"/>
              <w:jc w:val="left"/>
              <w:textAlignment w:val="auto"/>
              <w:rPr>
                <w:rFonts w:hint="eastAsia" w:ascii="仿宋_GB2312" w:hAnsi="仿宋_GB2312" w:eastAsia="仿宋_GB2312" w:cs="仿宋_GB2312"/>
                <w:color w:val="auto"/>
                <w:sz w:val="20"/>
                <w:szCs w:val="20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color w:val="auto"/>
                <w:spacing w:val="1"/>
                <w:sz w:val="20"/>
                <w:szCs w:val="20"/>
              </w:rPr>
              <w:t>2.地震发生后,按照初判标准启动响应,后期根据分级标准,适时调整响应级别。</w:t>
            </w:r>
          </w:p>
        </w:tc>
      </w:tr>
    </w:tbl>
    <w:p w14:paraId="57DB6A5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6.2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预案管理</w:t>
      </w:r>
    </w:p>
    <w:p w14:paraId="48BED86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本预案由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应急管理中心牵头制定，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</w:rPr>
        <w:t>根据有关规定，结合我区实际，适时进行修订。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各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有关单位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应按照《山东省地震应急与救援办法》和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本预案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规定制定（修订）地震应急预案。</w:t>
      </w:r>
    </w:p>
    <w:p w14:paraId="1B73A1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6.3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　预案解释</w:t>
      </w:r>
    </w:p>
    <w:p w14:paraId="15DE8FD5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left="0" w:right="0" w:firstLine="632" w:firstLineChars="200"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本预案由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应急管理中心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负责解释。</w:t>
      </w:r>
    </w:p>
    <w:p w14:paraId="414E5DA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left="0" w:right="0" w:firstLine="640"/>
        <w:contextualSpacing/>
        <w:textAlignment w:val="auto"/>
        <w:rPr>
          <w:rFonts w:hint="default" w:ascii="Times New Roman" w:hAnsi="Times New Roman" w:eastAsia="楷体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</w:rPr>
        <w:t>6.</w:t>
      </w:r>
      <w:r>
        <w:rPr>
          <w:rFonts w:hint="default" w:ascii="Times New Roman" w:hAnsi="Times New Roman" w:eastAsia="仿宋_GB2312" w:cs="Times New Roman"/>
          <w:color w:val="auto"/>
          <w:lang w:val="en-US" w:eastAsia="zh-CN"/>
        </w:rPr>
        <w:t xml:space="preserve">4 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  <w:lang w:val="en-US" w:eastAsia="zh-CN"/>
        </w:rPr>
        <w:t xml:space="preserve"> </w:t>
      </w:r>
      <w:r>
        <w:rPr>
          <w:rFonts w:hint="default" w:ascii="Times New Roman" w:hAnsi="Times New Roman" w:eastAsia="楷体_GB2312" w:cs="Times New Roman"/>
          <w:color w:val="auto"/>
          <w:sz w:val="32"/>
          <w:szCs w:val="32"/>
        </w:rPr>
        <w:t>发布实施</w:t>
      </w:r>
    </w:p>
    <w:p w14:paraId="008EF50B">
      <w:pPr>
        <w:pStyle w:val="9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76" w:lineRule="exact"/>
        <w:ind w:left="0" w:right="0" w:firstLine="640"/>
        <w:contextualSpacing/>
        <w:textAlignment w:val="auto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本预案自发布之日起实施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eastAsia="zh-CN"/>
        </w:rPr>
        <w:t>。2015年12月21日管委印发的《威海经济技术开发区地震应急预案》（经技区管发〔2015〕58号）同时废止。</w:t>
      </w:r>
    </w:p>
    <w:p w14:paraId="29974C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576" w:lineRule="exact"/>
        <w:ind w:left="0" w:right="0"/>
        <w:textAlignment w:val="auto"/>
        <w:outlineLvl w:val="9"/>
        <w:rPr>
          <w:rFonts w:hint="eastAsia"/>
        </w:rPr>
      </w:pPr>
    </w:p>
    <w:sectPr>
      <w:footerReference r:id="rId3" w:type="default"/>
      <w:footerReference r:id="rId4" w:type="even"/>
      <w:pgSz w:w="11906" w:h="16838"/>
      <w:pgMar w:top="2098" w:right="1474" w:bottom="1984" w:left="1588" w:header="851" w:footer="1361" w:gutter="0"/>
      <w:cols w:space="720" w:num="1"/>
      <w:docGrid w:type="linesAndChars" w:linePitch="579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TimesNewRomanPSMT">
    <w:altName w:val="Times New Roman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文星简小标宋">
    <w:altName w:val="宋体"/>
    <w:panose1 w:val="00000000000000000000"/>
    <w:charset w:val="86"/>
    <w:family w:val="modern"/>
    <w:pitch w:val="default"/>
    <w:sig w:usb0="00000001" w:usb1="080E0000" w:usb2="00000010" w:usb3="00000000" w:csb0="00040000" w:csb1="00000000"/>
  </w:font>
  <w:font w:name="方正小标宋简体">
    <w:altName w:val="Arial Unicode MS"/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黑体_GBK">
    <w:altName w:val="Arial Unicode MS"/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D7DAD9E">
    <w:pPr>
      <w:ind w:firstLine="7560" w:firstLineChars="2700"/>
      <w:rPr>
        <w:rFonts w:hint="eastAsia" w:ascii="宋体" w:hAnsi="宋体" w:eastAsia="宋体"/>
        <w:sz w:val="28"/>
        <w:szCs w:val="28"/>
      </w:rPr>
    </w:pPr>
    <w:r>
      <w:rPr>
        <w:rFonts w:hint="eastAsia" w:ascii="宋体" w:hAnsi="宋体" w:eastAsia="宋体"/>
        <w:sz w:val="28"/>
        <w:szCs w:val="28"/>
      </w:rPr>
      <w:t xml:space="preserve">— </w:t>
    </w:r>
    <w:r>
      <w:rPr>
        <w:rFonts w:ascii="宋体" w:hAnsi="宋体" w:eastAsia="宋体"/>
        <w:sz w:val="28"/>
        <w:szCs w:val="28"/>
      </w:rPr>
      <w:fldChar w:fldCharType="begin"/>
    </w:r>
    <w:r>
      <w:rPr>
        <w:rFonts w:ascii="宋体" w:hAnsi="宋体" w:eastAsia="宋体"/>
        <w:sz w:val="28"/>
        <w:szCs w:val="28"/>
      </w:rPr>
      <w:instrText xml:space="preserve"> PAGE 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Fonts w:ascii="宋体" w:hAnsi="宋体" w:eastAsia="宋体"/>
        <w:sz w:val="28"/>
        <w:szCs w:val="28"/>
        <w:lang/>
      </w:rPr>
      <w:t>3</w:t>
    </w:r>
    <w:r>
      <w:rPr>
        <w:rFonts w:ascii="宋体" w:hAnsi="宋体" w:eastAsia="宋体"/>
        <w:sz w:val="28"/>
        <w:szCs w:val="28"/>
      </w:rPr>
      <w:fldChar w:fldCharType="end"/>
    </w:r>
    <w:r>
      <w:rPr>
        <w:rFonts w:hint="eastAsia" w:ascii="宋体" w:hAnsi="宋体" w:eastAsia="宋体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8CF080E">
    <w:pPr>
      <w:pStyle w:val="13"/>
      <w:framePr w:w="1598" w:h="513" w:hRule="exact" w:wrap="around" w:vAnchor="text" w:hAnchor="page" w:x="1607" w:y="-149"/>
      <w:ind w:firstLine="280" w:firstLineChars="100"/>
      <w:rPr>
        <w:rStyle w:val="26"/>
        <w:rFonts w:hint="eastAsia" w:ascii="宋体" w:hAnsi="宋体" w:eastAsia="宋体"/>
        <w:sz w:val="28"/>
        <w:szCs w:val="28"/>
      </w:rPr>
    </w:pPr>
    <w:r>
      <w:rPr>
        <w:rStyle w:val="26"/>
        <w:rFonts w:hint="eastAsia" w:ascii="宋体" w:hAnsi="宋体" w:eastAsia="宋体"/>
        <w:sz w:val="28"/>
        <w:szCs w:val="28"/>
      </w:rPr>
      <w:t xml:space="preserve">— </w:t>
    </w:r>
    <w:r>
      <w:rPr>
        <w:rFonts w:ascii="宋体" w:hAnsi="宋体" w:eastAsia="宋体"/>
        <w:sz w:val="28"/>
        <w:szCs w:val="28"/>
      </w:rPr>
      <w:fldChar w:fldCharType="begin"/>
    </w:r>
    <w:r>
      <w:rPr>
        <w:rStyle w:val="26"/>
        <w:rFonts w:ascii="宋体" w:hAnsi="宋体" w:eastAsia="宋体"/>
        <w:sz w:val="28"/>
        <w:szCs w:val="28"/>
      </w:rPr>
      <w:instrText xml:space="preserve">PAGE  </w:instrText>
    </w:r>
    <w:r>
      <w:rPr>
        <w:rFonts w:ascii="宋体" w:hAnsi="宋体" w:eastAsia="宋体"/>
        <w:sz w:val="28"/>
        <w:szCs w:val="28"/>
      </w:rPr>
      <w:fldChar w:fldCharType="separate"/>
    </w:r>
    <w:r>
      <w:rPr>
        <w:rStyle w:val="26"/>
        <w:rFonts w:ascii="宋体" w:hAnsi="宋体" w:eastAsia="宋体"/>
        <w:sz w:val="28"/>
        <w:szCs w:val="28"/>
        <w:lang/>
      </w:rPr>
      <w:t>4</w:t>
    </w:r>
    <w:r>
      <w:rPr>
        <w:rFonts w:ascii="宋体" w:hAnsi="宋体" w:eastAsia="宋体"/>
        <w:sz w:val="28"/>
        <w:szCs w:val="28"/>
      </w:rPr>
      <w:fldChar w:fldCharType="end"/>
    </w:r>
    <w:r>
      <w:rPr>
        <w:rFonts w:hint="eastAsia" w:ascii="宋体" w:hAnsi="宋体" w:eastAsia="宋体"/>
        <w:sz w:val="28"/>
        <w:szCs w:val="28"/>
      </w:rPr>
      <w:t xml:space="preserve"> </w:t>
    </w:r>
    <w:r>
      <w:rPr>
        <w:rStyle w:val="26"/>
        <w:rFonts w:hint="eastAsia" w:ascii="宋体" w:hAnsi="宋体" w:eastAsia="宋体"/>
        <w:sz w:val="28"/>
        <w:szCs w:val="28"/>
      </w:rPr>
      <w:t>—</w:t>
    </w:r>
  </w:p>
  <w:p w14:paraId="7CBDC67D">
    <w:pPr>
      <w:pStyle w:val="1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57"/>
  <w:displayBackgroundShape w:val="1"/>
  <w:mirrorMargins w:val="1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evenAndOddHeaders w:val="1"/>
  <w:drawingGridHorizontalSpacing w:val="158"/>
  <w:drawingGridVerticalSpacing w:val="579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5824DC4"/>
    <w:rsid w:val="000019FF"/>
    <w:rsid w:val="00004C7E"/>
    <w:rsid w:val="00005241"/>
    <w:rsid w:val="00014D90"/>
    <w:rsid w:val="000402D4"/>
    <w:rsid w:val="00047FF0"/>
    <w:rsid w:val="00054365"/>
    <w:rsid w:val="00054966"/>
    <w:rsid w:val="0007156C"/>
    <w:rsid w:val="000805C0"/>
    <w:rsid w:val="00090C80"/>
    <w:rsid w:val="000B5999"/>
    <w:rsid w:val="000C5D05"/>
    <w:rsid w:val="000C6F34"/>
    <w:rsid w:val="000E1856"/>
    <w:rsid w:val="000F412E"/>
    <w:rsid w:val="000F479F"/>
    <w:rsid w:val="00112DFF"/>
    <w:rsid w:val="001168C0"/>
    <w:rsid w:val="00116D15"/>
    <w:rsid w:val="00123D38"/>
    <w:rsid w:val="001308BD"/>
    <w:rsid w:val="0014177D"/>
    <w:rsid w:val="00145F44"/>
    <w:rsid w:val="00154AF7"/>
    <w:rsid w:val="00154B56"/>
    <w:rsid w:val="00185EC4"/>
    <w:rsid w:val="001974BE"/>
    <w:rsid w:val="001C069C"/>
    <w:rsid w:val="001C1BF8"/>
    <w:rsid w:val="001D70A0"/>
    <w:rsid w:val="001E39C7"/>
    <w:rsid w:val="001F3609"/>
    <w:rsid w:val="00201040"/>
    <w:rsid w:val="0020607A"/>
    <w:rsid w:val="00217B9A"/>
    <w:rsid w:val="002266F3"/>
    <w:rsid w:val="00256091"/>
    <w:rsid w:val="00263247"/>
    <w:rsid w:val="00280F51"/>
    <w:rsid w:val="0029335E"/>
    <w:rsid w:val="002A1762"/>
    <w:rsid w:val="002A5908"/>
    <w:rsid w:val="002C057E"/>
    <w:rsid w:val="002C3BF9"/>
    <w:rsid w:val="002D0349"/>
    <w:rsid w:val="002E413D"/>
    <w:rsid w:val="002E7EFB"/>
    <w:rsid w:val="002F1481"/>
    <w:rsid w:val="00315FE2"/>
    <w:rsid w:val="003210D9"/>
    <w:rsid w:val="00340399"/>
    <w:rsid w:val="00340FB0"/>
    <w:rsid w:val="00343ABE"/>
    <w:rsid w:val="00343C02"/>
    <w:rsid w:val="00347902"/>
    <w:rsid w:val="00354CE1"/>
    <w:rsid w:val="00364BFB"/>
    <w:rsid w:val="003662A5"/>
    <w:rsid w:val="0037211B"/>
    <w:rsid w:val="0038620F"/>
    <w:rsid w:val="00397E9C"/>
    <w:rsid w:val="003A05EE"/>
    <w:rsid w:val="003C5731"/>
    <w:rsid w:val="003D3E38"/>
    <w:rsid w:val="003E1CE8"/>
    <w:rsid w:val="003E2065"/>
    <w:rsid w:val="003E58CB"/>
    <w:rsid w:val="003E7EE2"/>
    <w:rsid w:val="00416FB4"/>
    <w:rsid w:val="00417B33"/>
    <w:rsid w:val="0043641D"/>
    <w:rsid w:val="00451506"/>
    <w:rsid w:val="00456589"/>
    <w:rsid w:val="004644E8"/>
    <w:rsid w:val="0046779C"/>
    <w:rsid w:val="00477BE2"/>
    <w:rsid w:val="00493577"/>
    <w:rsid w:val="004C3B54"/>
    <w:rsid w:val="004D0468"/>
    <w:rsid w:val="004E0E07"/>
    <w:rsid w:val="004E1FEB"/>
    <w:rsid w:val="004F02EC"/>
    <w:rsid w:val="004F1F26"/>
    <w:rsid w:val="00526B6B"/>
    <w:rsid w:val="00533B97"/>
    <w:rsid w:val="0053514F"/>
    <w:rsid w:val="0054427D"/>
    <w:rsid w:val="005452DB"/>
    <w:rsid w:val="0055095B"/>
    <w:rsid w:val="005534AF"/>
    <w:rsid w:val="00557010"/>
    <w:rsid w:val="005573C9"/>
    <w:rsid w:val="00570E8C"/>
    <w:rsid w:val="00571697"/>
    <w:rsid w:val="00596F92"/>
    <w:rsid w:val="005B03F2"/>
    <w:rsid w:val="005E1263"/>
    <w:rsid w:val="005F4751"/>
    <w:rsid w:val="005F7C68"/>
    <w:rsid w:val="00604717"/>
    <w:rsid w:val="006056BD"/>
    <w:rsid w:val="00613D91"/>
    <w:rsid w:val="00613DA9"/>
    <w:rsid w:val="00625E86"/>
    <w:rsid w:val="0065642A"/>
    <w:rsid w:val="00667553"/>
    <w:rsid w:val="00694E67"/>
    <w:rsid w:val="006A35F1"/>
    <w:rsid w:val="006A7CB3"/>
    <w:rsid w:val="006B4B82"/>
    <w:rsid w:val="006E5CA2"/>
    <w:rsid w:val="006E66AE"/>
    <w:rsid w:val="00703195"/>
    <w:rsid w:val="007054D9"/>
    <w:rsid w:val="00714258"/>
    <w:rsid w:val="00715344"/>
    <w:rsid w:val="00745413"/>
    <w:rsid w:val="007455C9"/>
    <w:rsid w:val="0074565B"/>
    <w:rsid w:val="007458A4"/>
    <w:rsid w:val="00752B5A"/>
    <w:rsid w:val="007566AE"/>
    <w:rsid w:val="00757A2D"/>
    <w:rsid w:val="00761236"/>
    <w:rsid w:val="00764D1F"/>
    <w:rsid w:val="007660A6"/>
    <w:rsid w:val="00770085"/>
    <w:rsid w:val="007718D3"/>
    <w:rsid w:val="00772499"/>
    <w:rsid w:val="007876A3"/>
    <w:rsid w:val="00793CCB"/>
    <w:rsid w:val="007A062C"/>
    <w:rsid w:val="007C7F98"/>
    <w:rsid w:val="007D01E3"/>
    <w:rsid w:val="007E639D"/>
    <w:rsid w:val="008325EB"/>
    <w:rsid w:val="00832BFC"/>
    <w:rsid w:val="00834317"/>
    <w:rsid w:val="00836A60"/>
    <w:rsid w:val="008438DD"/>
    <w:rsid w:val="00843A12"/>
    <w:rsid w:val="008448E1"/>
    <w:rsid w:val="00845E05"/>
    <w:rsid w:val="008522E3"/>
    <w:rsid w:val="0085593F"/>
    <w:rsid w:val="00861D27"/>
    <w:rsid w:val="008625CA"/>
    <w:rsid w:val="00871491"/>
    <w:rsid w:val="00882A89"/>
    <w:rsid w:val="00890F08"/>
    <w:rsid w:val="008942FA"/>
    <w:rsid w:val="008A001C"/>
    <w:rsid w:val="008A059B"/>
    <w:rsid w:val="008A0B74"/>
    <w:rsid w:val="008A6A2F"/>
    <w:rsid w:val="008B458D"/>
    <w:rsid w:val="008B5D8A"/>
    <w:rsid w:val="008B7AE2"/>
    <w:rsid w:val="009067D3"/>
    <w:rsid w:val="009120B3"/>
    <w:rsid w:val="00916732"/>
    <w:rsid w:val="0091713C"/>
    <w:rsid w:val="00917CEA"/>
    <w:rsid w:val="00923AE6"/>
    <w:rsid w:val="00933CD3"/>
    <w:rsid w:val="00935DBE"/>
    <w:rsid w:val="00937405"/>
    <w:rsid w:val="00954081"/>
    <w:rsid w:val="00964126"/>
    <w:rsid w:val="0096742B"/>
    <w:rsid w:val="00994695"/>
    <w:rsid w:val="00996958"/>
    <w:rsid w:val="009C0A33"/>
    <w:rsid w:val="009F11AF"/>
    <w:rsid w:val="00A30A8E"/>
    <w:rsid w:val="00A41E04"/>
    <w:rsid w:val="00A43B58"/>
    <w:rsid w:val="00A52014"/>
    <w:rsid w:val="00A64C4B"/>
    <w:rsid w:val="00A81F05"/>
    <w:rsid w:val="00A92332"/>
    <w:rsid w:val="00AB5E9E"/>
    <w:rsid w:val="00AC02BB"/>
    <w:rsid w:val="00AC0860"/>
    <w:rsid w:val="00AD396F"/>
    <w:rsid w:val="00AE3229"/>
    <w:rsid w:val="00AE33EF"/>
    <w:rsid w:val="00AF2E6B"/>
    <w:rsid w:val="00B07D38"/>
    <w:rsid w:val="00B1163B"/>
    <w:rsid w:val="00B26743"/>
    <w:rsid w:val="00B32EF5"/>
    <w:rsid w:val="00B373D1"/>
    <w:rsid w:val="00B52D06"/>
    <w:rsid w:val="00B8225A"/>
    <w:rsid w:val="00B918BA"/>
    <w:rsid w:val="00B974F5"/>
    <w:rsid w:val="00BA3560"/>
    <w:rsid w:val="00BA3B7D"/>
    <w:rsid w:val="00BB7A45"/>
    <w:rsid w:val="00BD4EC3"/>
    <w:rsid w:val="00BE68F7"/>
    <w:rsid w:val="00BF2AD7"/>
    <w:rsid w:val="00C070E1"/>
    <w:rsid w:val="00C134C4"/>
    <w:rsid w:val="00C14BB7"/>
    <w:rsid w:val="00C15DA7"/>
    <w:rsid w:val="00C2334E"/>
    <w:rsid w:val="00C301E8"/>
    <w:rsid w:val="00C45320"/>
    <w:rsid w:val="00C45B32"/>
    <w:rsid w:val="00C45FD4"/>
    <w:rsid w:val="00C51A5A"/>
    <w:rsid w:val="00C5410C"/>
    <w:rsid w:val="00C5427A"/>
    <w:rsid w:val="00C60366"/>
    <w:rsid w:val="00C6256E"/>
    <w:rsid w:val="00C74C45"/>
    <w:rsid w:val="00C86767"/>
    <w:rsid w:val="00C96F34"/>
    <w:rsid w:val="00CA31C1"/>
    <w:rsid w:val="00CA515D"/>
    <w:rsid w:val="00CA6255"/>
    <w:rsid w:val="00CB5FEC"/>
    <w:rsid w:val="00D00CEC"/>
    <w:rsid w:val="00D05F83"/>
    <w:rsid w:val="00D07C41"/>
    <w:rsid w:val="00D216EB"/>
    <w:rsid w:val="00D33F65"/>
    <w:rsid w:val="00D3652A"/>
    <w:rsid w:val="00D47F4F"/>
    <w:rsid w:val="00D51FBB"/>
    <w:rsid w:val="00D54BDA"/>
    <w:rsid w:val="00D64B2A"/>
    <w:rsid w:val="00DB600D"/>
    <w:rsid w:val="00DC22D8"/>
    <w:rsid w:val="00DD6A1B"/>
    <w:rsid w:val="00DE3EEA"/>
    <w:rsid w:val="00DF2489"/>
    <w:rsid w:val="00DF4D96"/>
    <w:rsid w:val="00E214AE"/>
    <w:rsid w:val="00E21BFC"/>
    <w:rsid w:val="00E24A13"/>
    <w:rsid w:val="00E35039"/>
    <w:rsid w:val="00E4666B"/>
    <w:rsid w:val="00E46AD8"/>
    <w:rsid w:val="00E71BDB"/>
    <w:rsid w:val="00E83CE6"/>
    <w:rsid w:val="00E95919"/>
    <w:rsid w:val="00EA383D"/>
    <w:rsid w:val="00EB1A7E"/>
    <w:rsid w:val="00EC3FC1"/>
    <w:rsid w:val="00EE78AF"/>
    <w:rsid w:val="00EF6E12"/>
    <w:rsid w:val="00F12BE7"/>
    <w:rsid w:val="00F24C01"/>
    <w:rsid w:val="00F50B7D"/>
    <w:rsid w:val="00F55FA5"/>
    <w:rsid w:val="00F62115"/>
    <w:rsid w:val="00F64191"/>
    <w:rsid w:val="00F76FB0"/>
    <w:rsid w:val="00F82422"/>
    <w:rsid w:val="00F834CD"/>
    <w:rsid w:val="00F851DA"/>
    <w:rsid w:val="00FA12C4"/>
    <w:rsid w:val="00FC053F"/>
    <w:rsid w:val="00FC1095"/>
    <w:rsid w:val="00FC61F1"/>
    <w:rsid w:val="00FD23E3"/>
    <w:rsid w:val="01545319"/>
    <w:rsid w:val="017B7F83"/>
    <w:rsid w:val="01A13C11"/>
    <w:rsid w:val="028A66F3"/>
    <w:rsid w:val="029668B9"/>
    <w:rsid w:val="02B249DD"/>
    <w:rsid w:val="02CD0EB7"/>
    <w:rsid w:val="02CE0C47"/>
    <w:rsid w:val="03A23D4C"/>
    <w:rsid w:val="03E07B6A"/>
    <w:rsid w:val="03EB7DE9"/>
    <w:rsid w:val="04087321"/>
    <w:rsid w:val="04173C52"/>
    <w:rsid w:val="04587CAC"/>
    <w:rsid w:val="04BF1FD2"/>
    <w:rsid w:val="04C3001C"/>
    <w:rsid w:val="05136674"/>
    <w:rsid w:val="05213935"/>
    <w:rsid w:val="05DB115D"/>
    <w:rsid w:val="05FB095D"/>
    <w:rsid w:val="060E25DF"/>
    <w:rsid w:val="06495087"/>
    <w:rsid w:val="06B45E8D"/>
    <w:rsid w:val="06D67F3B"/>
    <w:rsid w:val="06F40BE3"/>
    <w:rsid w:val="0718724A"/>
    <w:rsid w:val="076B5410"/>
    <w:rsid w:val="077D2F09"/>
    <w:rsid w:val="078859F0"/>
    <w:rsid w:val="07BA7EFE"/>
    <w:rsid w:val="07BB543C"/>
    <w:rsid w:val="086B6BD3"/>
    <w:rsid w:val="08794F3A"/>
    <w:rsid w:val="08940DD2"/>
    <w:rsid w:val="08E1757A"/>
    <w:rsid w:val="099A49C9"/>
    <w:rsid w:val="0A230241"/>
    <w:rsid w:val="0A5F74E5"/>
    <w:rsid w:val="0B0525AE"/>
    <w:rsid w:val="0B3D6537"/>
    <w:rsid w:val="0BF94F27"/>
    <w:rsid w:val="0BFD7293"/>
    <w:rsid w:val="0C644CC2"/>
    <w:rsid w:val="0CB72015"/>
    <w:rsid w:val="0DED44F5"/>
    <w:rsid w:val="0EB11A7C"/>
    <w:rsid w:val="0FA00D24"/>
    <w:rsid w:val="103B4825"/>
    <w:rsid w:val="103B7AAB"/>
    <w:rsid w:val="10953652"/>
    <w:rsid w:val="10BC26A9"/>
    <w:rsid w:val="10C6276C"/>
    <w:rsid w:val="10D916A1"/>
    <w:rsid w:val="11331E0B"/>
    <w:rsid w:val="113D73D8"/>
    <w:rsid w:val="117C60E6"/>
    <w:rsid w:val="118146A4"/>
    <w:rsid w:val="11ED6280"/>
    <w:rsid w:val="124604A7"/>
    <w:rsid w:val="12D61929"/>
    <w:rsid w:val="133C106A"/>
    <w:rsid w:val="13763B17"/>
    <w:rsid w:val="13786A4C"/>
    <w:rsid w:val="13A86728"/>
    <w:rsid w:val="13FE48A8"/>
    <w:rsid w:val="14685CD5"/>
    <w:rsid w:val="14951899"/>
    <w:rsid w:val="14E15B43"/>
    <w:rsid w:val="159B77BD"/>
    <w:rsid w:val="166D3A15"/>
    <w:rsid w:val="16EC08BE"/>
    <w:rsid w:val="170B1FA0"/>
    <w:rsid w:val="1715550F"/>
    <w:rsid w:val="18377E58"/>
    <w:rsid w:val="18723E33"/>
    <w:rsid w:val="188807D1"/>
    <w:rsid w:val="18B500B9"/>
    <w:rsid w:val="18E54604"/>
    <w:rsid w:val="1936569A"/>
    <w:rsid w:val="19393F6D"/>
    <w:rsid w:val="193F7EE2"/>
    <w:rsid w:val="1A147657"/>
    <w:rsid w:val="1A1A54AD"/>
    <w:rsid w:val="1AC002D0"/>
    <w:rsid w:val="1AEB499E"/>
    <w:rsid w:val="1B334A5C"/>
    <w:rsid w:val="1B387140"/>
    <w:rsid w:val="1BC51AC6"/>
    <w:rsid w:val="1C74313F"/>
    <w:rsid w:val="1C9C337C"/>
    <w:rsid w:val="1CA73D65"/>
    <w:rsid w:val="1CEF37CB"/>
    <w:rsid w:val="1D3C07EA"/>
    <w:rsid w:val="1D9C03D9"/>
    <w:rsid w:val="1E395D7F"/>
    <w:rsid w:val="1E6602CD"/>
    <w:rsid w:val="1E787258"/>
    <w:rsid w:val="1E807264"/>
    <w:rsid w:val="1F3A57AE"/>
    <w:rsid w:val="1F67754F"/>
    <w:rsid w:val="1F9E0A35"/>
    <w:rsid w:val="1FE9FE0D"/>
    <w:rsid w:val="1FF82BCB"/>
    <w:rsid w:val="21C754B4"/>
    <w:rsid w:val="21F73828"/>
    <w:rsid w:val="223627F2"/>
    <w:rsid w:val="22620899"/>
    <w:rsid w:val="22981590"/>
    <w:rsid w:val="22A74D13"/>
    <w:rsid w:val="23826097"/>
    <w:rsid w:val="23937258"/>
    <w:rsid w:val="24EB3725"/>
    <w:rsid w:val="25075C2D"/>
    <w:rsid w:val="250C6CAD"/>
    <w:rsid w:val="25354375"/>
    <w:rsid w:val="25824DC4"/>
    <w:rsid w:val="258A000F"/>
    <w:rsid w:val="25EB22BD"/>
    <w:rsid w:val="260516A3"/>
    <w:rsid w:val="26684D8F"/>
    <w:rsid w:val="26DECD04"/>
    <w:rsid w:val="27296B57"/>
    <w:rsid w:val="273307D5"/>
    <w:rsid w:val="274670AC"/>
    <w:rsid w:val="275D701D"/>
    <w:rsid w:val="27827BF6"/>
    <w:rsid w:val="28254C64"/>
    <w:rsid w:val="286976B0"/>
    <w:rsid w:val="2875491D"/>
    <w:rsid w:val="28773A4B"/>
    <w:rsid w:val="28787126"/>
    <w:rsid w:val="287F752A"/>
    <w:rsid w:val="28BF6305"/>
    <w:rsid w:val="294D76E7"/>
    <w:rsid w:val="29BA2017"/>
    <w:rsid w:val="29CC4868"/>
    <w:rsid w:val="29DA2827"/>
    <w:rsid w:val="2A1C2F8C"/>
    <w:rsid w:val="2A3A32F3"/>
    <w:rsid w:val="2A3B3029"/>
    <w:rsid w:val="2A4F3653"/>
    <w:rsid w:val="2A584C16"/>
    <w:rsid w:val="2A6A5D71"/>
    <w:rsid w:val="2A901B63"/>
    <w:rsid w:val="2A902EF1"/>
    <w:rsid w:val="2B4178A1"/>
    <w:rsid w:val="2B4732D4"/>
    <w:rsid w:val="2BAC1FFA"/>
    <w:rsid w:val="2BE7539F"/>
    <w:rsid w:val="2BFFC506"/>
    <w:rsid w:val="2C8D5E21"/>
    <w:rsid w:val="2C9F7876"/>
    <w:rsid w:val="2CE27D72"/>
    <w:rsid w:val="2CEC0A0C"/>
    <w:rsid w:val="2D44698D"/>
    <w:rsid w:val="2D4C3BED"/>
    <w:rsid w:val="2DB16C68"/>
    <w:rsid w:val="2DB939D5"/>
    <w:rsid w:val="2DDF2B92"/>
    <w:rsid w:val="2DEB55E6"/>
    <w:rsid w:val="2DFC3561"/>
    <w:rsid w:val="2EE50306"/>
    <w:rsid w:val="2F1D642A"/>
    <w:rsid w:val="2F53697E"/>
    <w:rsid w:val="2F5ACF69"/>
    <w:rsid w:val="2F96441C"/>
    <w:rsid w:val="2F98287A"/>
    <w:rsid w:val="2FA3D56E"/>
    <w:rsid w:val="2FD6596D"/>
    <w:rsid w:val="2FE04BFE"/>
    <w:rsid w:val="2FE8352D"/>
    <w:rsid w:val="305B7E4A"/>
    <w:rsid w:val="3060400E"/>
    <w:rsid w:val="308421D9"/>
    <w:rsid w:val="30D02984"/>
    <w:rsid w:val="31224023"/>
    <w:rsid w:val="315C6C44"/>
    <w:rsid w:val="31A22B9F"/>
    <w:rsid w:val="31AA2099"/>
    <w:rsid w:val="31B06FDA"/>
    <w:rsid w:val="31CE0C63"/>
    <w:rsid w:val="328A2822"/>
    <w:rsid w:val="3298051E"/>
    <w:rsid w:val="32A97385"/>
    <w:rsid w:val="32AC4D1E"/>
    <w:rsid w:val="32BB0B79"/>
    <w:rsid w:val="32F530B7"/>
    <w:rsid w:val="33470D50"/>
    <w:rsid w:val="33EB45AA"/>
    <w:rsid w:val="340F0D6F"/>
    <w:rsid w:val="340F231D"/>
    <w:rsid w:val="342E654B"/>
    <w:rsid w:val="346102D1"/>
    <w:rsid w:val="346956D9"/>
    <w:rsid w:val="3495351D"/>
    <w:rsid w:val="34986A45"/>
    <w:rsid w:val="34C853B0"/>
    <w:rsid w:val="355221F1"/>
    <w:rsid w:val="35B573AD"/>
    <w:rsid w:val="360945A3"/>
    <w:rsid w:val="36315C01"/>
    <w:rsid w:val="36376752"/>
    <w:rsid w:val="365E39FE"/>
    <w:rsid w:val="36FD40E3"/>
    <w:rsid w:val="372310C6"/>
    <w:rsid w:val="373B4E18"/>
    <w:rsid w:val="37516650"/>
    <w:rsid w:val="377A5BF4"/>
    <w:rsid w:val="37AE5DDD"/>
    <w:rsid w:val="37C0253F"/>
    <w:rsid w:val="37FD16F7"/>
    <w:rsid w:val="3822046A"/>
    <w:rsid w:val="38235F70"/>
    <w:rsid w:val="382D1CDB"/>
    <w:rsid w:val="3850138F"/>
    <w:rsid w:val="38A5498B"/>
    <w:rsid w:val="38D74D99"/>
    <w:rsid w:val="391C2B80"/>
    <w:rsid w:val="39333322"/>
    <w:rsid w:val="39822C77"/>
    <w:rsid w:val="3993390F"/>
    <w:rsid w:val="3A21012D"/>
    <w:rsid w:val="3A72335F"/>
    <w:rsid w:val="3A823E69"/>
    <w:rsid w:val="3AED7DF9"/>
    <w:rsid w:val="3B2964C1"/>
    <w:rsid w:val="3B7FB6CE"/>
    <w:rsid w:val="3BBE3E49"/>
    <w:rsid w:val="3BFF0ADB"/>
    <w:rsid w:val="3C3D66B3"/>
    <w:rsid w:val="3C45270E"/>
    <w:rsid w:val="3C64087A"/>
    <w:rsid w:val="3CD80ACE"/>
    <w:rsid w:val="3D6E058C"/>
    <w:rsid w:val="3E5F3D6F"/>
    <w:rsid w:val="3E7CF921"/>
    <w:rsid w:val="3ECB1AE8"/>
    <w:rsid w:val="3F2311C3"/>
    <w:rsid w:val="3F7B6E9D"/>
    <w:rsid w:val="3FB6D08B"/>
    <w:rsid w:val="3FCF382C"/>
    <w:rsid w:val="3FEA1358"/>
    <w:rsid w:val="40031F4C"/>
    <w:rsid w:val="4029031C"/>
    <w:rsid w:val="40753E76"/>
    <w:rsid w:val="407D05FD"/>
    <w:rsid w:val="40E1601F"/>
    <w:rsid w:val="411E0097"/>
    <w:rsid w:val="41237F80"/>
    <w:rsid w:val="413E286F"/>
    <w:rsid w:val="41671849"/>
    <w:rsid w:val="416C6A62"/>
    <w:rsid w:val="418B7468"/>
    <w:rsid w:val="41C414CE"/>
    <w:rsid w:val="41EF0592"/>
    <w:rsid w:val="41F071AA"/>
    <w:rsid w:val="42690EC3"/>
    <w:rsid w:val="42DF0EE4"/>
    <w:rsid w:val="43001104"/>
    <w:rsid w:val="4311396E"/>
    <w:rsid w:val="432533D5"/>
    <w:rsid w:val="433A53FB"/>
    <w:rsid w:val="4389590C"/>
    <w:rsid w:val="438F4187"/>
    <w:rsid w:val="439D3B09"/>
    <w:rsid w:val="44682411"/>
    <w:rsid w:val="4494045C"/>
    <w:rsid w:val="44CA1CBA"/>
    <w:rsid w:val="454E0520"/>
    <w:rsid w:val="45526F90"/>
    <w:rsid w:val="459672FD"/>
    <w:rsid w:val="45BFC04F"/>
    <w:rsid w:val="45CE6D15"/>
    <w:rsid w:val="45D25994"/>
    <w:rsid w:val="462B5FD2"/>
    <w:rsid w:val="46685829"/>
    <w:rsid w:val="46BC39B4"/>
    <w:rsid w:val="470B6CE4"/>
    <w:rsid w:val="47BF01D2"/>
    <w:rsid w:val="47E359C8"/>
    <w:rsid w:val="48037E74"/>
    <w:rsid w:val="4810008C"/>
    <w:rsid w:val="482C6423"/>
    <w:rsid w:val="48A033E4"/>
    <w:rsid w:val="48BA2A75"/>
    <w:rsid w:val="495A7497"/>
    <w:rsid w:val="4973148C"/>
    <w:rsid w:val="4B130213"/>
    <w:rsid w:val="4B3602B9"/>
    <w:rsid w:val="4BC52D19"/>
    <w:rsid w:val="4BF50097"/>
    <w:rsid w:val="4C721901"/>
    <w:rsid w:val="4C796381"/>
    <w:rsid w:val="4CDF4F0E"/>
    <w:rsid w:val="4D602C35"/>
    <w:rsid w:val="4D79415D"/>
    <w:rsid w:val="4D9F01ED"/>
    <w:rsid w:val="4DCA6683"/>
    <w:rsid w:val="4DD30C18"/>
    <w:rsid w:val="4DDA590F"/>
    <w:rsid w:val="4DDE6F98"/>
    <w:rsid w:val="4DE057AC"/>
    <w:rsid w:val="4DE2587A"/>
    <w:rsid w:val="4E056135"/>
    <w:rsid w:val="4E524EF4"/>
    <w:rsid w:val="4E9F698D"/>
    <w:rsid w:val="4EDD1249"/>
    <w:rsid w:val="4EE33952"/>
    <w:rsid w:val="4EFC4A75"/>
    <w:rsid w:val="4F097DF1"/>
    <w:rsid w:val="4F152D31"/>
    <w:rsid w:val="4F346694"/>
    <w:rsid w:val="4FB742C2"/>
    <w:rsid w:val="4FEB2CD8"/>
    <w:rsid w:val="507064AE"/>
    <w:rsid w:val="50D7BAD8"/>
    <w:rsid w:val="51020DAE"/>
    <w:rsid w:val="513574EE"/>
    <w:rsid w:val="513804A8"/>
    <w:rsid w:val="51752D61"/>
    <w:rsid w:val="519344D7"/>
    <w:rsid w:val="51981EEB"/>
    <w:rsid w:val="519A7963"/>
    <w:rsid w:val="51A63767"/>
    <w:rsid w:val="51F608C4"/>
    <w:rsid w:val="51FED7AB"/>
    <w:rsid w:val="523C0758"/>
    <w:rsid w:val="52D92493"/>
    <w:rsid w:val="5384365A"/>
    <w:rsid w:val="538E7DEF"/>
    <w:rsid w:val="53C27FE7"/>
    <w:rsid w:val="54051E23"/>
    <w:rsid w:val="54936796"/>
    <w:rsid w:val="553D021E"/>
    <w:rsid w:val="557C02C2"/>
    <w:rsid w:val="55830C43"/>
    <w:rsid w:val="55A35960"/>
    <w:rsid w:val="55BC1B1C"/>
    <w:rsid w:val="56F620AD"/>
    <w:rsid w:val="5723115B"/>
    <w:rsid w:val="572B4993"/>
    <w:rsid w:val="57824D65"/>
    <w:rsid w:val="57B42CD3"/>
    <w:rsid w:val="58536049"/>
    <w:rsid w:val="58B52136"/>
    <w:rsid w:val="58EB393E"/>
    <w:rsid w:val="59330D43"/>
    <w:rsid w:val="59774A6A"/>
    <w:rsid w:val="598A7959"/>
    <w:rsid w:val="59CD4080"/>
    <w:rsid w:val="59E34AE2"/>
    <w:rsid w:val="5A192E87"/>
    <w:rsid w:val="5A6B0EDD"/>
    <w:rsid w:val="5ABF68F1"/>
    <w:rsid w:val="5AC8293E"/>
    <w:rsid w:val="5AD559EC"/>
    <w:rsid w:val="5B0611A3"/>
    <w:rsid w:val="5BD462C2"/>
    <w:rsid w:val="5BF11CB1"/>
    <w:rsid w:val="5C4122C7"/>
    <w:rsid w:val="5C434EF1"/>
    <w:rsid w:val="5CEE67AF"/>
    <w:rsid w:val="5CFFD09F"/>
    <w:rsid w:val="5D1F6203"/>
    <w:rsid w:val="5D327FBD"/>
    <w:rsid w:val="5D6A7E6C"/>
    <w:rsid w:val="5D8F5C17"/>
    <w:rsid w:val="5E5F7F5A"/>
    <w:rsid w:val="5EED19A9"/>
    <w:rsid w:val="5EFA7CCD"/>
    <w:rsid w:val="5F111BB2"/>
    <w:rsid w:val="5F177702"/>
    <w:rsid w:val="5F2355E9"/>
    <w:rsid w:val="5F2D588A"/>
    <w:rsid w:val="5F59046E"/>
    <w:rsid w:val="5F6E1B14"/>
    <w:rsid w:val="5F7ECF17"/>
    <w:rsid w:val="5F871D6A"/>
    <w:rsid w:val="5F8A1E93"/>
    <w:rsid w:val="5F8E6728"/>
    <w:rsid w:val="5FFF73AE"/>
    <w:rsid w:val="603568CA"/>
    <w:rsid w:val="603E2D0C"/>
    <w:rsid w:val="606F2989"/>
    <w:rsid w:val="60D67BD6"/>
    <w:rsid w:val="60EE6621"/>
    <w:rsid w:val="61140F19"/>
    <w:rsid w:val="61294DCA"/>
    <w:rsid w:val="61511CCF"/>
    <w:rsid w:val="618D3F12"/>
    <w:rsid w:val="61FA6124"/>
    <w:rsid w:val="622545C1"/>
    <w:rsid w:val="62D6741D"/>
    <w:rsid w:val="638E22A1"/>
    <w:rsid w:val="63BFD95A"/>
    <w:rsid w:val="640747D1"/>
    <w:rsid w:val="6419076E"/>
    <w:rsid w:val="64A45309"/>
    <w:rsid w:val="653B25E8"/>
    <w:rsid w:val="6543397F"/>
    <w:rsid w:val="65735AD7"/>
    <w:rsid w:val="65BFF08D"/>
    <w:rsid w:val="662160A4"/>
    <w:rsid w:val="662227FF"/>
    <w:rsid w:val="662A79A6"/>
    <w:rsid w:val="669B0C3E"/>
    <w:rsid w:val="66C07A0F"/>
    <w:rsid w:val="66C22C4D"/>
    <w:rsid w:val="6764212A"/>
    <w:rsid w:val="67FB790F"/>
    <w:rsid w:val="68814F72"/>
    <w:rsid w:val="68DA46A7"/>
    <w:rsid w:val="68F963C8"/>
    <w:rsid w:val="69590EA9"/>
    <w:rsid w:val="69B34FD2"/>
    <w:rsid w:val="69D62315"/>
    <w:rsid w:val="69D75C58"/>
    <w:rsid w:val="6A2247BA"/>
    <w:rsid w:val="6A7D7C17"/>
    <w:rsid w:val="6AAB1A1A"/>
    <w:rsid w:val="6AB84CF1"/>
    <w:rsid w:val="6ADF7BE4"/>
    <w:rsid w:val="6AE15AA7"/>
    <w:rsid w:val="6B4E448C"/>
    <w:rsid w:val="6BAE2EBE"/>
    <w:rsid w:val="6BF37BDC"/>
    <w:rsid w:val="6C593EC1"/>
    <w:rsid w:val="6C683A9E"/>
    <w:rsid w:val="6CA142B4"/>
    <w:rsid w:val="6D4B418E"/>
    <w:rsid w:val="6D735651"/>
    <w:rsid w:val="6D7C7E63"/>
    <w:rsid w:val="6DB30BBC"/>
    <w:rsid w:val="6E06774B"/>
    <w:rsid w:val="6E4432CE"/>
    <w:rsid w:val="6E737FA6"/>
    <w:rsid w:val="6EA95E6A"/>
    <w:rsid w:val="6EBFD089"/>
    <w:rsid w:val="6F150A4B"/>
    <w:rsid w:val="6F7BB3E8"/>
    <w:rsid w:val="6F7BCB1A"/>
    <w:rsid w:val="6F7F20BA"/>
    <w:rsid w:val="6FF95AE4"/>
    <w:rsid w:val="70A03618"/>
    <w:rsid w:val="716C960E"/>
    <w:rsid w:val="71E42579"/>
    <w:rsid w:val="721764E2"/>
    <w:rsid w:val="725D1BA4"/>
    <w:rsid w:val="72AB0235"/>
    <w:rsid w:val="72EF06F1"/>
    <w:rsid w:val="735F2EF4"/>
    <w:rsid w:val="73C7A8FB"/>
    <w:rsid w:val="73FB6D61"/>
    <w:rsid w:val="74435EB6"/>
    <w:rsid w:val="74D814CD"/>
    <w:rsid w:val="74E948EA"/>
    <w:rsid w:val="752761AB"/>
    <w:rsid w:val="755C4612"/>
    <w:rsid w:val="757DE146"/>
    <w:rsid w:val="75ED5D32"/>
    <w:rsid w:val="761B245E"/>
    <w:rsid w:val="7674495D"/>
    <w:rsid w:val="774B487B"/>
    <w:rsid w:val="77BF5071"/>
    <w:rsid w:val="783A393F"/>
    <w:rsid w:val="786BA8DC"/>
    <w:rsid w:val="79B57508"/>
    <w:rsid w:val="79DFAE57"/>
    <w:rsid w:val="79E007EB"/>
    <w:rsid w:val="79FE117E"/>
    <w:rsid w:val="79FF3494"/>
    <w:rsid w:val="79FF9AEC"/>
    <w:rsid w:val="7A3106A6"/>
    <w:rsid w:val="7A375C02"/>
    <w:rsid w:val="7A7B33CF"/>
    <w:rsid w:val="7A92036E"/>
    <w:rsid w:val="7AB55DDE"/>
    <w:rsid w:val="7ADB6915"/>
    <w:rsid w:val="7B073943"/>
    <w:rsid w:val="7B4022F6"/>
    <w:rsid w:val="7B6EE995"/>
    <w:rsid w:val="7BA001F0"/>
    <w:rsid w:val="7BB7D68B"/>
    <w:rsid w:val="7BBF8B95"/>
    <w:rsid w:val="7C263461"/>
    <w:rsid w:val="7C4A2954"/>
    <w:rsid w:val="7C72606A"/>
    <w:rsid w:val="7CA3E458"/>
    <w:rsid w:val="7CF81DDF"/>
    <w:rsid w:val="7D2C338C"/>
    <w:rsid w:val="7D4727DE"/>
    <w:rsid w:val="7D4E093D"/>
    <w:rsid w:val="7DBF195C"/>
    <w:rsid w:val="7DC0145A"/>
    <w:rsid w:val="7DC50927"/>
    <w:rsid w:val="7DFB4DB5"/>
    <w:rsid w:val="7E473124"/>
    <w:rsid w:val="7E4822E7"/>
    <w:rsid w:val="7E744A27"/>
    <w:rsid w:val="7EA76A7C"/>
    <w:rsid w:val="7EADEE39"/>
    <w:rsid w:val="7EE146F5"/>
    <w:rsid w:val="7EFF8646"/>
    <w:rsid w:val="7F7AD78F"/>
    <w:rsid w:val="7F7FA4F4"/>
    <w:rsid w:val="7FAFE46B"/>
    <w:rsid w:val="7FB71FBA"/>
    <w:rsid w:val="8B936500"/>
    <w:rsid w:val="8FF1F915"/>
    <w:rsid w:val="90EEF972"/>
    <w:rsid w:val="97B334B5"/>
    <w:rsid w:val="A83F8CB6"/>
    <w:rsid w:val="ABFE8751"/>
    <w:rsid w:val="AD5F5AE9"/>
    <w:rsid w:val="AFDFB565"/>
    <w:rsid w:val="B8B6A2A2"/>
    <w:rsid w:val="BA7B23C6"/>
    <w:rsid w:val="BABE4DC7"/>
    <w:rsid w:val="BD9F05A7"/>
    <w:rsid w:val="BDBD39EF"/>
    <w:rsid w:val="BFDB833A"/>
    <w:rsid w:val="BFFD8753"/>
    <w:rsid w:val="BFFFDC1E"/>
    <w:rsid w:val="C7BF5E76"/>
    <w:rsid w:val="C9FB471B"/>
    <w:rsid w:val="CFF7FFB7"/>
    <w:rsid w:val="CFFEC13A"/>
    <w:rsid w:val="CFFF7263"/>
    <w:rsid w:val="D2FC4AC0"/>
    <w:rsid w:val="D7CEAE2F"/>
    <w:rsid w:val="D89E860A"/>
    <w:rsid w:val="D9F7F64F"/>
    <w:rsid w:val="DB6F272B"/>
    <w:rsid w:val="DEF4D0FF"/>
    <w:rsid w:val="DFDB056F"/>
    <w:rsid w:val="DFEFD79F"/>
    <w:rsid w:val="DFF5E9F8"/>
    <w:rsid w:val="DFF6BD86"/>
    <w:rsid w:val="E6DB5003"/>
    <w:rsid w:val="E9F362B9"/>
    <w:rsid w:val="E9F71EFB"/>
    <w:rsid w:val="EAACFCA0"/>
    <w:rsid w:val="EBCD66BD"/>
    <w:rsid w:val="ED3A5FDD"/>
    <w:rsid w:val="EE79A84E"/>
    <w:rsid w:val="EFFDBE43"/>
    <w:rsid w:val="F2FF5EF6"/>
    <w:rsid w:val="F38D895D"/>
    <w:rsid w:val="F3CA0AA5"/>
    <w:rsid w:val="F3F3A808"/>
    <w:rsid w:val="F7EF4CA2"/>
    <w:rsid w:val="F7FF9FE7"/>
    <w:rsid w:val="FA5DA317"/>
    <w:rsid w:val="FB3BD7B7"/>
    <w:rsid w:val="FB414FA2"/>
    <w:rsid w:val="FB6E079A"/>
    <w:rsid w:val="FB7E255A"/>
    <w:rsid w:val="FDABA8D4"/>
    <w:rsid w:val="FDDFFF5A"/>
    <w:rsid w:val="FDE769DF"/>
    <w:rsid w:val="FDF7358C"/>
    <w:rsid w:val="FDFD24EB"/>
    <w:rsid w:val="FEF78E00"/>
    <w:rsid w:val="FF3764D0"/>
    <w:rsid w:val="FFA3BF18"/>
    <w:rsid w:val="FFDD6198"/>
    <w:rsid w:val="FFF999A4"/>
    <w:rsid w:val="FFFFECC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qFormat="1"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qFormat="1"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eastAsia="仿宋_GB2312"/>
      <w:kern w:val="2"/>
      <w:sz w:val="32"/>
      <w:szCs w:val="3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default="1" w:styleId="24">
    <w:name w:val="Default Paragraph Font"/>
    <w:semiHidden/>
    <w:uiPriority w:val="0"/>
  </w:style>
  <w:style w:type="table" w:default="1" w:styleId="22">
    <w:name w:val="Normal Table"/>
    <w:semiHidden/>
    <w:uiPriority w:val="0"/>
    <w:tblPr>
      <w:tblStyle w:val="22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toc 1"/>
    <w:basedOn w:val="1"/>
    <w:next w:val="1"/>
    <w:qFormat/>
    <w:uiPriority w:val="0"/>
    <w:pPr>
      <w:widowControl w:val="0"/>
      <w:snapToGrid w:val="0"/>
      <w:spacing w:line="640" w:lineRule="exact"/>
      <w:ind w:firstLine="705"/>
      <w:jc w:val="both"/>
    </w:pPr>
    <w:rPr>
      <w:rFonts w:ascii="仿宋_GB2312" w:hAnsi="Times New Roman" w:eastAsia="仿宋_GB2312" w:cs="Times New Roman"/>
      <w:color w:val="000000"/>
      <w:kern w:val="2"/>
      <w:sz w:val="36"/>
      <w:szCs w:val="36"/>
      <w:lang w:val="en-US" w:eastAsia="zh-CN" w:bidi="ar-SA"/>
    </w:rPr>
  </w:style>
  <w:style w:type="paragraph" w:styleId="4">
    <w:name w:val="Normal Indent"/>
    <w:basedOn w:val="1"/>
    <w:uiPriority w:val="0"/>
    <w:pPr>
      <w:ind w:firstLine="420" w:firstLineChars="200"/>
    </w:pPr>
  </w:style>
  <w:style w:type="paragraph" w:styleId="5">
    <w:name w:val="index 5"/>
    <w:basedOn w:val="1"/>
    <w:next w:val="1"/>
    <w:qFormat/>
    <w:uiPriority w:val="0"/>
    <w:pPr>
      <w:ind w:left="1680"/>
    </w:pPr>
  </w:style>
  <w:style w:type="paragraph" w:styleId="6">
    <w:name w:val="Document Map"/>
    <w:basedOn w:val="1"/>
    <w:semiHidden/>
    <w:uiPriority w:val="0"/>
    <w:pPr>
      <w:shd w:val="clear" w:color="auto" w:fill="000080"/>
    </w:pPr>
  </w:style>
  <w:style w:type="paragraph" w:styleId="7">
    <w:name w:val="Body Text"/>
    <w:basedOn w:val="1"/>
    <w:qFormat/>
    <w:uiPriority w:val="1"/>
    <w:rPr>
      <w:sz w:val="32"/>
      <w:szCs w:val="32"/>
    </w:rPr>
  </w:style>
  <w:style w:type="paragraph" w:styleId="8">
    <w:name w:val="Body Text Indent"/>
    <w:basedOn w:val="1"/>
    <w:uiPriority w:val="0"/>
    <w:pPr>
      <w:spacing w:after="120"/>
      <w:ind w:left="420" w:leftChars="200"/>
    </w:pPr>
  </w:style>
  <w:style w:type="paragraph" w:styleId="9">
    <w:name w:val="Plain Text"/>
    <w:basedOn w:val="1"/>
    <w:link w:val="28"/>
    <w:uiPriority w:val="0"/>
    <w:rPr>
      <w:rFonts w:ascii="宋体" w:hAnsi="Courier New" w:cs="Courier New"/>
      <w:szCs w:val="21"/>
    </w:rPr>
  </w:style>
  <w:style w:type="paragraph" w:styleId="10">
    <w:name w:val="Date"/>
    <w:basedOn w:val="1"/>
    <w:next w:val="1"/>
    <w:uiPriority w:val="0"/>
    <w:pPr>
      <w:ind w:left="100" w:leftChars="2500"/>
    </w:pPr>
  </w:style>
  <w:style w:type="paragraph" w:styleId="11">
    <w:name w:val="Body Text Indent 2"/>
    <w:basedOn w:val="1"/>
    <w:uiPriority w:val="0"/>
    <w:pPr>
      <w:spacing w:after="120" w:line="480" w:lineRule="auto"/>
      <w:ind w:left="420" w:leftChars="200"/>
    </w:pPr>
  </w:style>
  <w:style w:type="paragraph" w:styleId="12">
    <w:name w:val="Balloon Text"/>
    <w:basedOn w:val="1"/>
    <w:semiHidden/>
    <w:uiPriority w:val="0"/>
    <w:rPr>
      <w:sz w:val="18"/>
      <w:szCs w:val="18"/>
    </w:rPr>
  </w:style>
  <w:style w:type="paragraph" w:styleId="13">
    <w:name w:val="footer"/>
    <w:basedOn w:val="1"/>
    <w:next w:val="5"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14">
    <w:name w:val="header"/>
    <w:basedOn w:val="1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5">
    <w:name w:val="footnote text"/>
    <w:basedOn w:val="1"/>
    <w:qFormat/>
    <w:uiPriority w:val="0"/>
    <w:pPr>
      <w:snapToGrid w:val="0"/>
      <w:jc w:val="left"/>
    </w:pPr>
    <w:rPr>
      <w:sz w:val="18"/>
      <w:szCs w:val="18"/>
    </w:rPr>
  </w:style>
  <w:style w:type="paragraph" w:styleId="16">
    <w:name w:val="Body Text Indent 3"/>
    <w:basedOn w:val="1"/>
    <w:link w:val="29"/>
    <w:uiPriority w:val="0"/>
    <w:pPr>
      <w:spacing w:after="120"/>
      <w:ind w:left="420" w:leftChars="200"/>
    </w:pPr>
    <w:rPr>
      <w:rFonts w:eastAsia="宋体"/>
      <w:sz w:val="16"/>
      <w:szCs w:val="16"/>
    </w:rPr>
  </w:style>
  <w:style w:type="paragraph" w:styleId="17">
    <w:name w:val="Body Text 2"/>
    <w:basedOn w:val="1"/>
    <w:uiPriority w:val="0"/>
    <w:pPr>
      <w:autoSpaceDE w:val="0"/>
      <w:autoSpaceDN w:val="0"/>
    </w:pPr>
    <w:rPr>
      <w:color w:val="000000"/>
      <w:kern w:val="0"/>
      <w:szCs w:val="20"/>
    </w:rPr>
  </w:style>
  <w:style w:type="paragraph" w:styleId="18">
    <w:name w:val="HTML Preformatted"/>
    <w:basedOn w:val="1"/>
    <w:uiPriority w:val="0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Arial" w:hAnsi="Arial" w:eastAsia="宋体" w:cs="Arial"/>
      <w:kern w:val="0"/>
      <w:sz w:val="24"/>
      <w:szCs w:val="24"/>
    </w:rPr>
  </w:style>
  <w:style w:type="paragraph" w:styleId="19">
    <w:name w:val="Normal (Web)"/>
    <w:basedOn w:val="1"/>
    <w:uiPriority w:val="0"/>
    <w:pPr>
      <w:widowControl/>
      <w:spacing w:before="100" w:beforeAutospacing="1" w:after="100" w:afterAutospacing="1"/>
      <w:jc w:val="left"/>
    </w:pPr>
    <w:rPr>
      <w:rFonts w:ascii="宋体" w:hAnsi="宋体" w:eastAsia="宋体" w:cs="宋体"/>
      <w:kern w:val="0"/>
      <w:sz w:val="24"/>
      <w:szCs w:val="24"/>
    </w:rPr>
  </w:style>
  <w:style w:type="paragraph" w:styleId="20">
    <w:name w:val="Title"/>
    <w:next w:val="1"/>
    <w:qFormat/>
    <w:uiPriority w:val="0"/>
    <w:pPr>
      <w:widowControl w:val="0"/>
      <w:spacing w:before="240" w:after="60"/>
      <w:jc w:val="center"/>
      <w:outlineLvl w:val="0"/>
    </w:pPr>
    <w:rPr>
      <w:rFonts w:ascii="Arial" w:hAnsi="Arial" w:eastAsia="宋体" w:cs="Times New Roman"/>
      <w:b/>
      <w:kern w:val="2"/>
      <w:sz w:val="32"/>
      <w:szCs w:val="22"/>
      <w:lang w:val="en-US" w:eastAsia="zh-CN" w:bidi="ar-SA"/>
    </w:rPr>
  </w:style>
  <w:style w:type="paragraph" w:styleId="21">
    <w:name w:val="Body Text First Indent 2"/>
    <w:basedOn w:val="8"/>
    <w:qFormat/>
    <w:uiPriority w:val="0"/>
    <w:pPr>
      <w:ind w:firstLine="420" w:firstLineChars="200"/>
    </w:pPr>
    <w:rPr>
      <w:rFonts w:ascii="Calibri" w:hAnsi="Calibri" w:eastAsia="宋体"/>
      <w:sz w:val="21"/>
      <w:szCs w:val="24"/>
    </w:rPr>
  </w:style>
  <w:style w:type="table" w:styleId="23">
    <w:name w:val="Table Grid"/>
    <w:basedOn w:val="22"/>
    <w:uiPriority w:val="0"/>
    <w:pPr>
      <w:widowControl w:val="0"/>
      <w:jc w:val="both"/>
    </w:pPr>
    <w:rPr>
      <w:rFonts w:eastAsia="仿宋_GB2312"/>
      <w:sz w:val="28"/>
      <w:szCs w:val="28"/>
    </w:rPr>
    <w:tblPr>
      <w:tblStyle w:val="22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25">
    <w:name w:val="Strong"/>
    <w:basedOn w:val="24"/>
    <w:qFormat/>
    <w:uiPriority w:val="0"/>
    <w:rPr>
      <w:b/>
      <w:bCs/>
    </w:rPr>
  </w:style>
  <w:style w:type="character" w:styleId="26">
    <w:name w:val="page number"/>
    <w:basedOn w:val="24"/>
    <w:uiPriority w:val="0"/>
  </w:style>
  <w:style w:type="character" w:styleId="27">
    <w:name w:val="Hyperlink"/>
    <w:basedOn w:val="24"/>
    <w:uiPriority w:val="0"/>
    <w:rPr>
      <w:color w:val="000000"/>
      <w:sz w:val="18"/>
      <w:szCs w:val="18"/>
      <w:u w:val="none"/>
    </w:rPr>
  </w:style>
  <w:style w:type="character" w:customStyle="1" w:styleId="28">
    <w:name w:val="纯文本 Char"/>
    <w:link w:val="9"/>
    <w:semiHidden/>
    <w:locked/>
    <w:uiPriority w:val="0"/>
    <w:rPr>
      <w:rFonts w:ascii="宋体" w:hAnsi="Courier New" w:eastAsia="仿宋_GB2312" w:cs="Courier New"/>
      <w:kern w:val="2"/>
      <w:sz w:val="32"/>
      <w:szCs w:val="21"/>
      <w:lang w:val="en-US" w:eastAsia="zh-CN" w:bidi="ar-SA"/>
    </w:rPr>
  </w:style>
  <w:style w:type="character" w:customStyle="1" w:styleId="29">
    <w:name w:val="正文文本缩进 3 Char"/>
    <w:link w:val="16"/>
    <w:uiPriority w:val="0"/>
    <w:rPr>
      <w:rFonts w:eastAsia="宋体"/>
      <w:kern w:val="2"/>
      <w:sz w:val="16"/>
      <w:szCs w:val="16"/>
      <w:lang w:val="en-US" w:eastAsia="zh-CN" w:bidi="ar-SA"/>
    </w:rPr>
  </w:style>
  <w:style w:type="character" w:customStyle="1" w:styleId="30">
    <w:name w:val="fontstyle31"/>
    <w:basedOn w:val="24"/>
    <w:qFormat/>
    <w:uiPriority w:val="0"/>
    <w:rPr>
      <w:rFonts w:hint="default" w:ascii="TimesNewRomanPSMT" w:hAnsi="TimesNewRomanPSMT"/>
      <w:color w:val="000000"/>
      <w:sz w:val="32"/>
      <w:szCs w:val="32"/>
    </w:rPr>
  </w:style>
  <w:style w:type="character" w:customStyle="1" w:styleId="31">
    <w:name w:val="font51"/>
    <w:basedOn w:val="24"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  <w:style w:type="character" w:customStyle="1" w:styleId="32">
    <w:name w:val=" Char Char"/>
    <w:uiPriority w:val="0"/>
    <w:rPr>
      <w:kern w:val="2"/>
      <w:sz w:val="16"/>
      <w:szCs w:val="16"/>
    </w:rPr>
  </w:style>
  <w:style w:type="character" w:customStyle="1" w:styleId="33">
    <w:name w:val="fontstyle51"/>
    <w:basedOn w:val="24"/>
    <w:qFormat/>
    <w:uiPriority w:val="0"/>
    <w:rPr>
      <w:rFonts w:hint="default" w:ascii="楷体_GB2312" w:hAnsi="楷体_GB2312"/>
      <w:color w:val="000000"/>
      <w:sz w:val="32"/>
      <w:szCs w:val="32"/>
    </w:rPr>
  </w:style>
  <w:style w:type="character" w:customStyle="1" w:styleId="34">
    <w:name w:val="font41"/>
    <w:basedOn w:val="24"/>
    <w:uiPriority w:val="0"/>
    <w:rPr>
      <w:rFonts w:hint="eastAsia" w:ascii="黑体" w:hAnsi="宋体" w:eastAsia="黑体" w:cs="黑体"/>
      <w:color w:val="000000"/>
      <w:sz w:val="28"/>
      <w:szCs w:val="28"/>
      <w:u w:val="none"/>
    </w:rPr>
  </w:style>
  <w:style w:type="character" w:customStyle="1" w:styleId="35">
    <w:name w:val="font11"/>
    <w:basedOn w:val="24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36">
    <w:name w:val="fontstyle21"/>
    <w:basedOn w:val="24"/>
    <w:qFormat/>
    <w:uiPriority w:val="0"/>
    <w:rPr>
      <w:rFonts w:hint="default" w:ascii="仿宋_GB2312" w:hAnsi="仿宋_GB2312"/>
      <w:color w:val="000000"/>
      <w:sz w:val="32"/>
      <w:szCs w:val="32"/>
    </w:rPr>
  </w:style>
  <w:style w:type="paragraph" w:customStyle="1" w:styleId="37">
    <w:name w:val="Char1"/>
    <w:basedOn w:val="1"/>
    <w:uiPriority w:val="0"/>
    <w:pPr>
      <w:spacing w:before="100" w:beforeAutospacing="1" w:after="100" w:afterAutospacing="1"/>
    </w:pPr>
    <w:rPr>
      <w:rFonts w:ascii="仿宋_GB2312"/>
      <w:b/>
    </w:rPr>
  </w:style>
  <w:style w:type="paragraph" w:customStyle="1" w:styleId="38">
    <w:name w:val="Char"/>
    <w:basedOn w:val="1"/>
    <w:semiHidden/>
    <w:uiPriority w:val="0"/>
    <w:rPr>
      <w:sz w:val="21"/>
      <w:szCs w:val="21"/>
    </w:rPr>
  </w:style>
  <w:style w:type="paragraph" w:customStyle="1" w:styleId="39">
    <w:name w:val="p0"/>
    <w:basedOn w:val="1"/>
    <w:uiPriority w:val="0"/>
    <w:pPr>
      <w:widowControl/>
    </w:pPr>
    <w:rPr>
      <w:rFonts w:eastAsia="宋体"/>
      <w:kern w:val="0"/>
      <w:sz w:val="21"/>
      <w:szCs w:val="21"/>
    </w:rPr>
  </w:style>
  <w:style w:type="paragraph" w:customStyle="1" w:styleId="40">
    <w:name w:val="p18"/>
    <w:basedOn w:val="1"/>
    <w:uiPriority w:val="0"/>
    <w:pPr>
      <w:widowControl/>
    </w:pPr>
    <w:rPr>
      <w:rFonts w:eastAsia="宋体"/>
      <w:kern w:val="0"/>
      <w:sz w:val="21"/>
      <w:szCs w:val="21"/>
    </w:rPr>
  </w:style>
  <w:style w:type="paragraph" w:customStyle="1" w:styleId="41">
    <w:name w:val=" Char"/>
    <w:basedOn w:val="6"/>
    <w:uiPriority w:val="0"/>
    <w:pPr>
      <w:spacing w:line="360" w:lineRule="auto"/>
      <w:ind w:firstLine="480" w:firstLineChars="200"/>
    </w:pPr>
    <w:rPr>
      <w:rFonts w:eastAsia="仿宋_GB2312"/>
      <w:sz w:val="32"/>
      <w:szCs w:val="32"/>
    </w:rPr>
  </w:style>
  <w:style w:type="paragraph" w:customStyle="1" w:styleId="42">
    <w:name w:val="_Style 3"/>
    <w:basedOn w:val="1"/>
    <w:uiPriority w:val="0"/>
    <w:pPr>
      <w:spacing w:line="600" w:lineRule="exact"/>
    </w:pPr>
    <w:rPr>
      <w:sz w:val="21"/>
      <w:szCs w:val="20"/>
    </w:rPr>
  </w:style>
  <w:style w:type="paragraph" w:customStyle="1" w:styleId="43">
    <w:name w:val=" Char Char Char Char Char Char Char Char Char Char"/>
    <w:basedOn w:val="1"/>
    <w:uiPriority w:val="0"/>
    <w:rPr>
      <w:rFonts w:ascii="宋体" w:hAnsi="宋体"/>
      <w:kern w:val="0"/>
      <w:sz w:val="24"/>
    </w:rPr>
  </w:style>
  <w:style w:type="paragraph" w:customStyle="1" w:styleId="44">
    <w:name w:val="Char Char Char Char Char Char Char Char"/>
    <w:basedOn w:val="1"/>
    <w:semiHidden/>
    <w:uiPriority w:val="0"/>
    <w:rPr>
      <w:sz w:val="32"/>
      <w:szCs w:val="21"/>
    </w:rPr>
  </w:style>
  <w:style w:type="paragraph" w:customStyle="1" w:styleId="45">
    <w:name w:val="大题目"/>
    <w:basedOn w:val="1"/>
    <w:uiPriority w:val="0"/>
    <w:pPr>
      <w:spacing w:line="0" w:lineRule="atLeast"/>
      <w:jc w:val="center"/>
    </w:pPr>
    <w:rPr>
      <w:rFonts w:hint="eastAsia" w:ascii="宋体" w:hAnsi="宋体" w:eastAsia="文星简小标宋"/>
      <w:sz w:val="44"/>
      <w:szCs w:val="20"/>
    </w:rPr>
  </w:style>
  <w:style w:type="paragraph" w:customStyle="1" w:styleId="46">
    <w:name w:val="p19"/>
    <w:uiPriority w:val="0"/>
    <w:rPr>
      <w:szCs w:val="21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Sky123.Org</Company>
  <Pages>23</Pages>
  <Words>10526</Words>
  <Characters>10731</Characters>
  <Lines>8</Lines>
  <Paragraphs>2</Paragraphs>
  <TotalTime>1.33333333333333</TotalTime>
  <ScaleCrop>false</ScaleCrop>
  <LinksUpToDate>false</LinksUpToDate>
  <CharactersWithSpaces>10843</CharactersWithSpaces>
  <Application>WPS Office_12.1.0.19770_F1E327BC-269C-435d-A152-05C5408002CA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2021-03-05T00:26:00Z</dcterms:created>
  <dc:creator>Administrator</dc:creator>
  <cp:lastModifiedBy>WPS_1591311884</cp:lastModifiedBy>
  <cp:lastPrinted>2023-11-15T10:05:28Z</cp:lastPrinted>
  <dcterms:modified xsi:type="dcterms:W3CDTF">2025-02-09T00:54:41Z</dcterms:modified>
  <dc:title>威海经济技术开发区管理委员会文件</dc:title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2052-12.1.0.19770</vt:lpwstr>
  </property>
  <property fmtid="{D5CDD505-2E9C-101B-9397-08002B2CF9AE}" pid="3" name="ICV">
    <vt:lpwstr>50D759BE7C8241249A0018CE7B16C850_13</vt:lpwstr>
  </property>
</Properties>
</file>