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450" w:afterAutospacing="0" w:line="576" w:lineRule="exact"/>
        <w:ind w:left="0" w:right="0"/>
        <w:jc w:val="both"/>
        <w:textAlignment w:val="auto"/>
        <w:rPr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2059A6"/>
          <w:spacing w:val="0"/>
          <w:sz w:val="44"/>
          <w:szCs w:val="44"/>
        </w:rPr>
        <w:t>经开区202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2059A6"/>
          <w:spacing w:val="0"/>
          <w:sz w:val="44"/>
          <w:szCs w:val="44"/>
          <w:lang w:val="en-US" w:eastAsia="zh-CN"/>
        </w:rPr>
        <w:t>4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2059A6"/>
          <w:spacing w:val="0"/>
          <w:sz w:val="44"/>
          <w:szCs w:val="44"/>
        </w:rPr>
        <w:t>年1-6月社会保险基金运行情况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76" w:lineRule="exact"/>
        <w:ind w:left="0" w:right="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  <w:t>    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 xml:space="preserve">  202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年1-6月，全区企业职工养老保险基金总收入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lang w:val="en-US" w:eastAsia="zh-CN"/>
        </w:rPr>
        <w:t>6.07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亿元,支出3.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lang w:val="en-US" w:eastAsia="zh-CN"/>
        </w:rPr>
        <w:t>87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亿元，滚存结余5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lang w:val="en-US" w:eastAsia="zh-CN"/>
        </w:rPr>
        <w:t>9.21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亿元；机关事业单位养老保险基金总收入5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lang w:val="en-US" w:eastAsia="zh-CN"/>
        </w:rPr>
        <w:t>114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万元，支出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lang w:val="en-US" w:eastAsia="zh-CN"/>
        </w:rPr>
        <w:t>4149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万元，滚存结余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lang w:val="en-US" w:eastAsia="zh-CN"/>
        </w:rPr>
        <w:t>5232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万元；居民养老保险基金收入4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lang w:val="en-US" w:eastAsia="zh-CN"/>
        </w:rPr>
        <w:t>802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万元，支出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lang w:val="en-US" w:eastAsia="zh-CN"/>
        </w:rPr>
        <w:t>4069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万元，滚存结余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lang w:val="en-US" w:eastAsia="zh-CN"/>
        </w:rPr>
        <w:t>5.56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亿元；工伤保险基金收支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lang w:val="en-US" w:eastAsia="zh-CN"/>
        </w:rPr>
        <w:t>1712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万元,支出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lang w:val="en-US" w:eastAsia="zh-CN"/>
        </w:rPr>
        <w:t>2226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万元，滚存结余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lang w:val="en-US" w:eastAsia="zh-CN"/>
        </w:rPr>
        <w:t>3634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万元；失业保险基金总收入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lang w:val="en-US" w:eastAsia="zh-CN"/>
        </w:rPr>
        <w:t>2128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万元，支出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lang w:val="en-US" w:eastAsia="zh-CN"/>
        </w:rPr>
        <w:t>3043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万元；职工医疗保险基金收入2.7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亿元，支出1.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lang w:val="en-US" w:eastAsia="zh-CN"/>
        </w:rPr>
        <w:t>67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亿元；公务员医疗保险收入1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lang w:val="en-US" w:eastAsia="zh-CN"/>
        </w:rPr>
        <w:t>38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万元，支出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lang w:val="en-US" w:eastAsia="zh-CN"/>
        </w:rPr>
        <w:t>79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万元；长护保险基金收入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lang w:val="en-US" w:eastAsia="zh-CN"/>
        </w:rPr>
        <w:t>179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万元，支出5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万元；医疗救助基金收入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lang w:val="en-US" w:eastAsia="zh-CN"/>
        </w:rPr>
        <w:t>42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万元，支出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lang w:val="en-US" w:eastAsia="zh-CN"/>
        </w:rPr>
        <w:t>32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万元，各项社会保险基金运行总体平稳。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</w:p>
    <w:sectPr>
      <w:pgSz w:w="11906" w:h="16838"/>
      <w:pgMar w:top="2098" w:right="1474" w:bottom="1984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C14B96"/>
    <w:rsid w:val="0BEC3E56"/>
    <w:rsid w:val="114C68E7"/>
    <w:rsid w:val="16D737E1"/>
    <w:rsid w:val="52A07997"/>
    <w:rsid w:val="5E03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91</TotalTime>
  <ScaleCrop>false</ScaleCrop>
  <LinksUpToDate>false</LinksUpToDate>
  <CharactersWithSpaces>0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2024-07-11T08:55:00Z</dcterms:created>
  <dc:creator>Administrator</dc:creator>
  <cp:lastModifiedBy>Administrator</cp:lastModifiedBy>
  <cp:lastPrinted>2024-07-12T01:27:58Z</cp:lastPrinted>
  <dcterms:modified xsi:type="dcterms:W3CDTF">2024-07-12T02:01:52Z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