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 xml:space="preserve">  桥头</w:t>
      </w:r>
      <w:r>
        <w:rPr>
          <w:rFonts w:eastAsia="方正小标宋简体"/>
          <w:bCs/>
          <w:sz w:val="44"/>
          <w:szCs w:val="44"/>
        </w:rPr>
        <w:t>镇</w:t>
      </w:r>
      <w:r>
        <w:rPr>
          <w:rFonts w:hint="eastAsia" w:eastAsia="方正小标宋简体"/>
          <w:bCs/>
          <w:sz w:val="44"/>
          <w:szCs w:val="44"/>
          <w:lang w:eastAsia="zh-CN"/>
        </w:rPr>
        <w:t>插花村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2018年</w:t>
      </w:r>
      <w:bookmarkStart w:id="0" w:name="_GoBack"/>
      <w:bookmarkEnd w:id="0"/>
      <w:r>
        <w:rPr>
          <w:rFonts w:hint="eastAsia" w:eastAsia="方正小标宋简体"/>
          <w:bCs/>
          <w:sz w:val="44"/>
          <w:szCs w:val="44"/>
        </w:rPr>
        <w:t>项目实施方案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640" w:leftChars="0" w:firstLine="0"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项目概要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（一）</w:t>
      </w:r>
      <w:r>
        <w:rPr>
          <w:rFonts w:ascii="仿宋" w:hAnsi="仿宋" w:eastAsia="仿宋"/>
          <w:bCs/>
          <w:sz w:val="32"/>
          <w:szCs w:val="32"/>
        </w:rPr>
        <w:t>项目名称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威海伟德市政有限公司工程建设</w:t>
      </w:r>
      <w:r>
        <w:rPr>
          <w:rFonts w:ascii="仿宋" w:hAnsi="仿宋" w:eastAsia="仿宋"/>
          <w:bCs/>
          <w:sz w:val="32"/>
          <w:szCs w:val="32"/>
        </w:rPr>
        <w:t>项目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二</w:t>
      </w:r>
      <w:r>
        <w:rPr>
          <w:rFonts w:ascii="仿宋" w:hAnsi="仿宋" w:eastAsia="仿宋"/>
          <w:bCs/>
          <w:sz w:val="32"/>
          <w:szCs w:val="32"/>
        </w:rPr>
        <w:t>）项目实施年度：201</w:t>
      </w:r>
      <w:r>
        <w:rPr>
          <w:rFonts w:hint="eastAsia" w:ascii="仿宋" w:hAnsi="仿宋" w:eastAsia="仿宋"/>
          <w:bCs/>
          <w:sz w:val="32"/>
          <w:szCs w:val="32"/>
        </w:rPr>
        <w:t>8</w:t>
      </w:r>
      <w:r>
        <w:rPr>
          <w:rFonts w:ascii="仿宋" w:hAnsi="仿宋" w:eastAsia="仿宋"/>
          <w:bCs/>
          <w:sz w:val="32"/>
          <w:szCs w:val="32"/>
        </w:rPr>
        <w:t>年度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三</w:t>
      </w:r>
      <w:r>
        <w:rPr>
          <w:rFonts w:ascii="仿宋" w:hAnsi="仿宋" w:eastAsia="仿宋"/>
          <w:bCs/>
          <w:sz w:val="32"/>
          <w:szCs w:val="32"/>
        </w:rPr>
        <w:t>）项目建设地点：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威海伟德市政有限公司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四</w:t>
      </w:r>
      <w:r>
        <w:rPr>
          <w:rFonts w:ascii="仿宋" w:hAnsi="仿宋" w:eastAsia="仿宋"/>
          <w:bCs/>
          <w:sz w:val="32"/>
          <w:szCs w:val="32"/>
        </w:rPr>
        <w:t>）项目实施单位：</w:t>
      </w:r>
      <w:r>
        <w:rPr>
          <w:rFonts w:hint="eastAsia" w:ascii="仿宋" w:hAnsi="仿宋" w:eastAsia="仿宋"/>
          <w:bCs/>
          <w:sz w:val="32"/>
          <w:szCs w:val="32"/>
        </w:rPr>
        <w:t>报信村、碑鲁村、北子城村、埠上村、柴里村、产里村、大院村、东涧村、东龙山村、东洛后村、东于家村、董家夼村、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福</w:t>
      </w:r>
      <w:r>
        <w:rPr>
          <w:rFonts w:hint="eastAsia" w:ascii="仿宋" w:hAnsi="仿宋" w:eastAsia="仿宋"/>
          <w:bCs/>
          <w:sz w:val="32"/>
          <w:szCs w:val="32"/>
        </w:rPr>
        <w:t>禄庄村、观里东村、观里西村、河西庄村、黑石村、后宅库村、黄金庄村、江家口村、教里村、刘家泊村、洛西村、孟家庄村、南台村、南子城村、盘川夼村、彭家埠村、前宅库村、桥头村、宋家店村、西龙山村、西洛后村、西山后村、西于家村、西贞村、新建村、信河北村、徐家庄村、雅格庄村、姚家圈村、义河北村、中于家村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五</w:t>
      </w:r>
      <w:r>
        <w:rPr>
          <w:rFonts w:ascii="仿宋" w:hAnsi="仿宋" w:eastAsia="仿宋"/>
          <w:bCs/>
          <w:sz w:val="32"/>
          <w:szCs w:val="32"/>
        </w:rPr>
        <w:t>）项目负责人：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刘军海</w:t>
      </w:r>
      <w:r>
        <w:rPr>
          <w:rFonts w:hint="eastAsia" w:ascii="仿宋" w:hAnsi="仿宋" w:eastAsia="仿宋"/>
          <w:bCs/>
          <w:sz w:val="32"/>
          <w:szCs w:val="32"/>
        </w:rPr>
        <w:t>,刘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/>
          <w:bCs/>
          <w:sz w:val="32"/>
          <w:szCs w:val="32"/>
        </w:rPr>
        <w:t>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段维卿</w:t>
      </w:r>
      <w:r>
        <w:rPr>
          <w:rFonts w:hint="eastAsia" w:ascii="仿宋" w:hAnsi="仿宋" w:eastAsia="仿宋"/>
          <w:bCs/>
          <w:sz w:val="32"/>
          <w:szCs w:val="32"/>
        </w:rPr>
        <w:t>,梁厚会,梁述强,殷炳清,刘玉莎,梁可敏,林卫宁,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吕世娥</w:t>
      </w:r>
      <w:r>
        <w:rPr>
          <w:rFonts w:hint="eastAsia" w:ascii="仿宋" w:hAnsi="仿宋" w:eastAsia="仿宋"/>
          <w:bCs/>
          <w:sz w:val="32"/>
          <w:szCs w:val="32"/>
        </w:rPr>
        <w:t>,刘新昌,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丛树泽</w:t>
      </w:r>
      <w:r>
        <w:rPr>
          <w:rFonts w:hint="eastAsia" w:ascii="仿宋" w:hAnsi="仿宋" w:eastAsia="仿宋"/>
          <w:bCs/>
          <w:sz w:val="32"/>
          <w:szCs w:val="32"/>
        </w:rPr>
        <w:t>,孟庆军,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夏清丽</w:t>
      </w:r>
      <w:r>
        <w:rPr>
          <w:rFonts w:hint="eastAsia" w:ascii="仿宋" w:hAnsi="仿宋" w:eastAsia="仿宋"/>
          <w:bCs/>
          <w:sz w:val="32"/>
          <w:szCs w:val="32"/>
        </w:rPr>
        <w:t>,夏元任,孙学才,宋文山,吕宝森,梁春文,刘玉民,夏吉礼,刘新金,吕增影,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汤华强</w:t>
      </w:r>
      <w:r>
        <w:rPr>
          <w:rFonts w:hint="eastAsia" w:ascii="仿宋" w:hAnsi="仿宋" w:eastAsia="仿宋"/>
          <w:bCs/>
          <w:sz w:val="32"/>
          <w:szCs w:val="32"/>
        </w:rPr>
        <w:t>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梁文章</w:t>
      </w:r>
      <w:r>
        <w:rPr>
          <w:rFonts w:hint="eastAsia" w:ascii="仿宋" w:hAnsi="仿宋" w:eastAsia="仿宋"/>
          <w:bCs/>
          <w:sz w:val="32"/>
          <w:szCs w:val="32"/>
        </w:rPr>
        <w:t>,李建华,吕福玲,林淑荣,林永华,张进军,刘玉福,林治松,夏吉新,刘正军,蔡新娟,鞠凯洪,齐志银,林卫东,梁永波,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韩宝林</w:t>
      </w:r>
      <w:r>
        <w:rPr>
          <w:rFonts w:hint="eastAsia" w:ascii="仿宋" w:hAnsi="仿宋" w:eastAsia="仿宋"/>
          <w:bCs/>
          <w:sz w:val="32"/>
          <w:szCs w:val="32"/>
        </w:rPr>
        <w:t>,邹磊,鞠远洪,宋海波</w:t>
      </w:r>
    </w:p>
    <w:p>
      <w:pPr>
        <w:spacing w:line="560" w:lineRule="exact"/>
        <w:ind w:firstLine="63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3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二、项目简介</w:t>
      </w:r>
    </w:p>
    <w:p>
      <w:pPr>
        <w:spacing w:line="560" w:lineRule="exact"/>
        <w:ind w:firstLine="63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2018年我们整合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sz w:val="32"/>
          <w:szCs w:val="32"/>
        </w:rPr>
        <w:t>个插花村贫困对象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bCs/>
          <w:sz w:val="32"/>
          <w:szCs w:val="32"/>
        </w:rPr>
        <w:t>万元的财政专项扶贫资金，注资</w:t>
      </w:r>
      <w:r>
        <w:rPr>
          <w:rFonts w:ascii="仿宋" w:hAnsi="仿宋" w:eastAsia="仿宋"/>
          <w:bCs/>
          <w:sz w:val="32"/>
          <w:szCs w:val="32"/>
        </w:rPr>
        <w:t>到</w:t>
      </w:r>
      <w:r>
        <w:rPr>
          <w:rFonts w:hint="eastAsia" w:ascii="仿宋" w:hAnsi="仿宋" w:eastAsia="仿宋"/>
          <w:bCs/>
          <w:sz w:val="32"/>
          <w:szCs w:val="32"/>
        </w:rPr>
        <w:t>威海伟德市政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有限</w:t>
      </w:r>
      <w:r>
        <w:rPr>
          <w:rFonts w:hint="eastAsia" w:ascii="仿宋" w:hAnsi="仿宋" w:eastAsia="仿宋"/>
          <w:bCs/>
          <w:sz w:val="32"/>
          <w:szCs w:val="32"/>
        </w:rPr>
        <w:t>公司</w:t>
      </w:r>
      <w:r>
        <w:rPr>
          <w:rFonts w:ascii="仿宋" w:hAnsi="仿宋" w:eastAsia="仿宋"/>
          <w:bCs/>
          <w:sz w:val="32"/>
          <w:szCs w:val="32"/>
        </w:rPr>
        <w:t>。</w:t>
      </w:r>
      <w:r>
        <w:rPr>
          <w:rFonts w:ascii="仿宋" w:hAnsi="仿宋" w:eastAsia="仿宋"/>
          <w:bCs/>
          <w:color w:val="auto"/>
          <w:sz w:val="32"/>
          <w:szCs w:val="32"/>
        </w:rPr>
        <w:t>考虑到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该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发展</w:t>
      </w:r>
      <w:r>
        <w:rPr>
          <w:rFonts w:ascii="仿宋" w:hAnsi="仿宋" w:eastAsia="仿宋"/>
          <w:bCs/>
          <w:color w:val="auto"/>
          <w:sz w:val="32"/>
          <w:szCs w:val="32"/>
        </w:rPr>
        <w:t>的规范性、资产收入的稳定性，将扶贫资金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投资</w:t>
      </w:r>
      <w:r>
        <w:rPr>
          <w:rFonts w:ascii="仿宋" w:hAnsi="仿宋" w:eastAsia="仿宋"/>
          <w:bCs/>
          <w:color w:val="auto"/>
          <w:sz w:val="32"/>
          <w:szCs w:val="32"/>
        </w:rPr>
        <w:t>到该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，采取</w:t>
      </w:r>
      <w:r>
        <w:rPr>
          <w:rFonts w:ascii="仿宋" w:hAnsi="仿宋" w:eastAsia="仿宋"/>
          <w:bCs/>
          <w:color w:val="auto"/>
          <w:sz w:val="32"/>
          <w:szCs w:val="32"/>
        </w:rPr>
        <w:t>收益保底的形式，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收益率不低于10%</w:t>
      </w:r>
      <w:r>
        <w:rPr>
          <w:rFonts w:ascii="仿宋" w:hAnsi="仿宋" w:eastAsia="仿宋"/>
          <w:bCs/>
          <w:color w:val="auto"/>
          <w:sz w:val="32"/>
          <w:szCs w:val="32"/>
        </w:rPr>
        <w:t>。为确保资金的安全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性</w:t>
      </w:r>
      <w:r>
        <w:rPr>
          <w:rFonts w:ascii="仿宋" w:hAnsi="仿宋" w:eastAsia="仿宋"/>
          <w:bCs/>
          <w:color w:val="auto"/>
          <w:sz w:val="32"/>
          <w:szCs w:val="32"/>
        </w:rPr>
        <w:t>和受益的稳定性，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桥头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镇政府应大力扶持威海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发展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项目工程建设产业。威海伟德市政有限公司以该公司固定资产除雪车两辆做抵押，价值约160万。</w:t>
      </w:r>
      <w:r>
        <w:rPr>
          <w:rFonts w:ascii="仿宋" w:hAnsi="仿宋" w:eastAsia="仿宋"/>
          <w:bCs/>
          <w:color w:val="auto"/>
          <w:sz w:val="32"/>
          <w:szCs w:val="32"/>
        </w:rPr>
        <w:t>综合考虑各村实际情况，扶贫资金可随时抽出用于收益更高的项目，以确保资金的安全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插花</w:t>
      </w:r>
      <w:r>
        <w:rPr>
          <w:rFonts w:ascii="仿宋" w:hAnsi="仿宋" w:eastAsia="仿宋"/>
          <w:b/>
          <w:bCs/>
          <w:color w:val="auto"/>
          <w:sz w:val="32"/>
          <w:szCs w:val="32"/>
        </w:rPr>
        <w:t>村基本情况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报信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村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501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1075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共投资67200元。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碑鲁村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"/>
        </w:rPr>
        <w:t>504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1186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3人。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共投资64400元。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北子城村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220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565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共投资11200元。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埠上村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217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584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3人。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共投资8400元。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柴里村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"/>
        </w:rPr>
        <w:t>275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676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共投资11200元。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产里村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252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582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3人。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共投资36400元。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大院村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166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东涧村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200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526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共投资22400元。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东龙山村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45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123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共投资19600元。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东洛后村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223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580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共投资16800元。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东于家村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250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650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共投资42000元。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董家夼村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141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共投资11200元。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福禄庄村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160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414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共投资25200元。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观里东村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243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636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共投资14000元。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观里西村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282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758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河西庄村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389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892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共投资33600元。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黑石村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302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728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后宅库村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72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198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黄金庄村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85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215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3人。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共投资8400元。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江家口村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380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857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教里村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208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606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刘家泊村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128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322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洛西村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428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1086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共投资33600元。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孟家庄村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516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1129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共投资16800元。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南台村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240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690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共投资39200元。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南子城村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320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885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共投资39200元。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盘川夼村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"/>
        </w:rPr>
        <w:t>222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545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共投资22400元。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彭家埠村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151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343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前宅库村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84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192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共投资19600元。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桥头村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839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1920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宋家店村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258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660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共投资16800元。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西龙山村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148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330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共投资11200元。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西洛后村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137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西山后村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102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246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共投资2800元。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西于家村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120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300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人，其中贫困户1户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西贞村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148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419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共投资19600元。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新建村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90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信河北村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152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344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3人。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共投资36400元。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徐家庄村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75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203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共投资11200元。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雅格庄村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343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1002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共投资5600元。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姚家圈村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100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276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共投资19600元。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义河北村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205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464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共投资14000元。</w:t>
      </w:r>
    </w:p>
    <w:p>
      <w:pPr>
        <w:spacing w:line="560" w:lineRule="exact"/>
        <w:ind w:firstLine="630"/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bidi="ar"/>
        </w:rPr>
        <w:t>中于家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 w:bidi="ar"/>
        </w:rPr>
        <w:t>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120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户、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>296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人，其中贫困户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户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人。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共投资14000元。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四、项目可行性分析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（一）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报信村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个村的贫困人口中，有劳动能力的贫困人口较少，为保障无劳动能力贫困人口的收入，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color w:val="auto"/>
          <w:sz w:val="32"/>
          <w:szCs w:val="32"/>
        </w:rPr>
        <w:t>个村集体拟将专项财政扶贫资金整合投入到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</w:t>
      </w:r>
      <w:r>
        <w:rPr>
          <w:rFonts w:hint="eastAsia" w:ascii="仿宋" w:hAnsi="仿宋" w:eastAsia="仿宋"/>
          <w:color w:val="auto"/>
          <w:sz w:val="32"/>
          <w:szCs w:val="32"/>
        </w:rPr>
        <w:t>，用于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工程项目</w:t>
      </w:r>
      <w:r>
        <w:rPr>
          <w:rFonts w:hint="eastAsia" w:ascii="仿宋" w:hAnsi="仿宋" w:eastAsia="仿宋"/>
          <w:color w:val="auto"/>
          <w:sz w:val="32"/>
          <w:szCs w:val="32"/>
        </w:rPr>
        <w:t>建设，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</w:t>
      </w:r>
      <w:r>
        <w:rPr>
          <w:rFonts w:hint="eastAsia" w:ascii="仿宋" w:hAnsi="仿宋" w:eastAsia="仿宋"/>
          <w:color w:val="auto"/>
          <w:sz w:val="32"/>
          <w:szCs w:val="32"/>
        </w:rPr>
        <w:t>每年向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报信</w:t>
      </w:r>
      <w:r>
        <w:rPr>
          <w:rFonts w:hint="eastAsia" w:ascii="仿宋" w:hAnsi="仿宋" w:eastAsia="仿宋"/>
          <w:color w:val="auto"/>
          <w:sz w:val="32"/>
          <w:szCs w:val="32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color w:val="auto"/>
          <w:sz w:val="32"/>
          <w:szCs w:val="32"/>
        </w:rPr>
        <w:t>个村的贫困人口固定分红，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帮助他们致富增收，</w:t>
      </w:r>
      <w:r>
        <w:rPr>
          <w:rFonts w:hint="eastAsia" w:ascii="仿宋" w:hAnsi="仿宋" w:eastAsia="仿宋"/>
          <w:color w:val="auto"/>
          <w:sz w:val="32"/>
          <w:szCs w:val="32"/>
        </w:rPr>
        <w:t>契合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color w:val="auto"/>
          <w:sz w:val="32"/>
          <w:szCs w:val="32"/>
        </w:rPr>
        <w:t>个村实际。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二</w:t>
      </w:r>
      <w:r>
        <w:rPr>
          <w:rFonts w:ascii="仿宋" w:hAnsi="仿宋" w:eastAsia="仿宋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威海伟德市政有限公司</w:t>
      </w:r>
      <w:r>
        <w:rPr>
          <w:rFonts w:hint="eastAsia" w:ascii="仿宋" w:hAnsi="仿宋" w:eastAsia="仿宋"/>
          <w:color w:val="auto"/>
          <w:sz w:val="32"/>
          <w:szCs w:val="32"/>
        </w:rPr>
        <w:t>成立于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2005年1月20日，注册资金1500万元，固定资产447万元。2016年3月16日获得市政建设叁级资质证书，主要从事市政工程及环境美化工程。目前在职员工68人，其中高级技术人员2名，中级技术人员5名。2018年</w:t>
      </w:r>
      <w:r>
        <w:rPr>
          <w:rFonts w:hint="eastAsia" w:ascii="仿宋" w:hAnsi="仿宋" w:eastAsia="仿宋"/>
          <w:bCs/>
          <w:sz w:val="32"/>
          <w:szCs w:val="32"/>
        </w:rPr>
        <w:t>整合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sz w:val="32"/>
          <w:szCs w:val="32"/>
        </w:rPr>
        <w:t>个插花村贫困对象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bCs/>
          <w:sz w:val="32"/>
          <w:szCs w:val="32"/>
        </w:rPr>
        <w:t>万元的财政专项扶贫资金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用于工程项目建设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预计3年内实现收益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该公司从成立以来承接了许多工程建设项目，其中包括：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（1）2013年2月2日，项目总投资约386万元，建设S908威石辅路蒲湾至所前泊段（K9+075-K12+290三标段）S908威石辅路蒲湾至所前泊段（K12+290-K15+600四标段）工程；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（2）2013年3月8日，项目总投资约1639万元，建设威海经济技术开发区中外生态科技产业园（桥头）4#6#7#路基土石方及桥涵工程；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（3）2013年4月1日，项目总投资约2702万元，建设S908威石辅路蒲湾至所前泊段涵洞工程（K9+075-K15+600)；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（4）2014年4月8日，项目总投资约为5597万，建设东部滨海新城（桥头）电子信息产业园土石方工程、东部滨海新城（桥头）装备制造产业园土石方工程以及桥头工业园工程（路基强夯）；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（5）2014年5月20日，项目总投资约887万元，建设金鸡路南延（圈邓家-S301）道路路基工程；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（6）2014年6月1日，项目总投资约456万元，建设东部滨海新城（桥头）产业园提档升级改造项目-市政工程以及园区2#、5#、6#路提档升级工程；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（7）2015年3月1日，项目总投资约347万元，建设金鸡路南延（K9+033-K11+190）路基、涵洞及附属工程；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（8）2015年4月20日，项目总投资约为1135万，建设中心大街提档升级项目道路整治工程（文化广场道路）；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（9）2015年10月23日，项目总投资约为140万，建设经区桥头镇4号路（西段）道路整治工程；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（10）2016年9月20日，项目总投资约为103万元，建设农村连村路道路工程。观光路线道路工程；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（11）2016年9月20日，项目总投资约为280万元，建设观光路线道路工程。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FF0000"/>
          <w:sz w:val="32"/>
          <w:szCs w:val="32"/>
        </w:rPr>
      </w:pPr>
      <w:r>
        <w:rPr>
          <w:rFonts w:ascii="仿宋" w:hAnsi="仿宋" w:eastAsia="仿宋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三</w:t>
      </w:r>
      <w:r>
        <w:rPr>
          <w:rFonts w:ascii="仿宋" w:hAnsi="仿宋" w:eastAsia="仿宋"/>
          <w:bCs/>
          <w:color w:val="auto"/>
          <w:sz w:val="32"/>
          <w:szCs w:val="32"/>
        </w:rPr>
        <w:t>）镇政府组织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多个</w:t>
      </w:r>
      <w:r>
        <w:rPr>
          <w:rFonts w:ascii="仿宋" w:hAnsi="仿宋" w:eastAsia="仿宋"/>
          <w:bCs/>
          <w:color w:val="auto"/>
          <w:sz w:val="32"/>
          <w:szCs w:val="32"/>
        </w:rPr>
        <w:t>部门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</w:t>
      </w:r>
      <w:r>
        <w:rPr>
          <w:rFonts w:ascii="仿宋" w:hAnsi="仿宋" w:eastAsia="仿宋"/>
          <w:bCs/>
          <w:color w:val="auto"/>
          <w:sz w:val="32"/>
          <w:szCs w:val="32"/>
        </w:rPr>
        <w:t>多次对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及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工程建设项目</w:t>
      </w:r>
      <w:r>
        <w:rPr>
          <w:rFonts w:ascii="仿宋" w:hAnsi="仿宋" w:eastAsia="仿宋"/>
          <w:bCs/>
          <w:color w:val="auto"/>
          <w:sz w:val="32"/>
          <w:szCs w:val="32"/>
        </w:rPr>
        <w:t>进行调研，认为项目切实可行。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黑体"/>
          <w:b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黑体"/>
          <w:b/>
          <w:bCs/>
          <w:color w:val="auto"/>
          <w:sz w:val="32"/>
          <w:szCs w:val="32"/>
          <w:lang w:bidi="ar"/>
        </w:rPr>
        <w:t>五、项目建设内容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Cs/>
          <w:color w:val="auto"/>
          <w:sz w:val="32"/>
          <w:szCs w:val="32"/>
          <w:lang w:bidi="ar"/>
        </w:rPr>
        <w:t>（一）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整合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个插花村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万元的财政专项扶贫资金，注资</w:t>
      </w:r>
      <w:r>
        <w:rPr>
          <w:rFonts w:ascii="仿宋" w:hAnsi="仿宋" w:eastAsia="仿宋"/>
          <w:bCs/>
          <w:color w:val="auto"/>
          <w:sz w:val="32"/>
          <w:szCs w:val="32"/>
        </w:rPr>
        <w:t>到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伟德市政有限公司，主要从事市政工程及环境美化工程。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黑体"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（二）威海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采取</w:t>
      </w:r>
      <w:r>
        <w:rPr>
          <w:rFonts w:ascii="仿宋" w:hAnsi="仿宋" w:eastAsia="仿宋"/>
          <w:bCs/>
          <w:color w:val="auto"/>
          <w:sz w:val="32"/>
          <w:szCs w:val="32"/>
        </w:rPr>
        <w:t>收益保底的形式，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收益率不低于投资额的10%，于每年9月30日前分到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个插花村，再由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个插花村根据贫困对象具体情况进行差异化分配到人到户。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color w:val="auto"/>
          <w:sz w:val="32"/>
          <w:szCs w:val="32"/>
          <w:lang w:bidi="ar"/>
        </w:rPr>
        <w:t>六、组织实施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楷体_GB2312"/>
          <w:color w:val="auto"/>
          <w:sz w:val="32"/>
          <w:szCs w:val="32"/>
          <w:lang w:bidi="ar"/>
        </w:rPr>
        <w:t>（一）项目实施时间：</w:t>
      </w:r>
      <w:r>
        <w:rPr>
          <w:rFonts w:ascii="仿宋" w:hAnsi="仿宋" w:eastAsia="仿宋"/>
          <w:color w:val="auto"/>
          <w:sz w:val="32"/>
          <w:szCs w:val="32"/>
          <w:lang w:bidi="ar"/>
        </w:rPr>
        <w:t>201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8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月至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11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月。</w:t>
      </w:r>
    </w:p>
    <w:p>
      <w:pPr>
        <w:spacing w:line="560" w:lineRule="exact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楷体_GB2312"/>
          <w:color w:val="auto"/>
          <w:sz w:val="32"/>
          <w:szCs w:val="32"/>
          <w:lang w:bidi="ar"/>
        </w:rPr>
        <w:t>（二）项目进度安排：</w:t>
      </w:r>
      <w:r>
        <w:rPr>
          <w:rFonts w:ascii="仿宋" w:hAnsi="仿宋" w:eastAsia="仿宋"/>
          <w:bCs/>
          <w:color w:val="auto"/>
          <w:sz w:val="32"/>
          <w:szCs w:val="32"/>
          <w:lang w:bidi="ar"/>
        </w:rPr>
        <w:t>201</w:t>
      </w:r>
      <w:r>
        <w:rPr>
          <w:rFonts w:hint="eastAsia" w:ascii="仿宋" w:hAnsi="仿宋" w:eastAsia="仿宋"/>
          <w:bCs/>
          <w:color w:val="auto"/>
          <w:sz w:val="32"/>
          <w:szCs w:val="32"/>
          <w:lang w:bidi="ar"/>
        </w:rPr>
        <w:t>8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bCs/>
          <w:color w:val="auto"/>
          <w:sz w:val="32"/>
          <w:szCs w:val="32"/>
          <w:lang w:bidi="ar"/>
        </w:rPr>
        <w:t>9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月，由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桥头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镇政府牵头，组织联系</w:t>
      </w:r>
      <w:r>
        <w:rPr>
          <w:rFonts w:hint="eastAsia" w:ascii="仿宋" w:hAnsi="仿宋" w:eastAsia="仿宋"/>
          <w:bCs/>
          <w:sz w:val="32"/>
          <w:szCs w:val="32"/>
        </w:rPr>
        <w:t>报信村、碑鲁村、北子城村、埠上村、柴里村、产里村、大院村、东涧村、东龙山村、东洛后村、东于家村、董家夼村、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福</w:t>
      </w:r>
      <w:r>
        <w:rPr>
          <w:rFonts w:hint="eastAsia" w:ascii="仿宋" w:hAnsi="仿宋" w:eastAsia="仿宋"/>
          <w:bCs/>
          <w:sz w:val="32"/>
          <w:szCs w:val="32"/>
        </w:rPr>
        <w:t>禄庄村、观里东村、观里西村、河西庄村、黑石村、后宅库村、黄金庄村、江家口村、教里村、刘家泊村、洛西村、孟家庄村、南台村、南子城村、盘川夼村、彭家埠村、前宅库村、桥头村、宋家店村、西龙山村、西洛后村、西山后村、西于家村、西贞村、新建村、信河北村、徐家庄村、雅格庄村、姚家圈村、义河北村、中于家村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个村两委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val="en-US" w:eastAsia="zh-CN" w:bidi="ar"/>
        </w:rPr>
        <w:t>威海伟德市政有限公司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进行洽谈。签订</w:t>
      </w:r>
      <w:r>
        <w:rPr>
          <w:rFonts w:hint="eastAsia" w:ascii="仿宋" w:hAnsi="仿宋" w:eastAsia="仿宋"/>
          <w:bCs/>
          <w:color w:val="auto"/>
          <w:sz w:val="32"/>
          <w:szCs w:val="32"/>
          <w:lang w:bidi="ar"/>
        </w:rPr>
        <w:t>3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  <w:t>年投资合同，项目实施正式开始。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Cs/>
          <w:color w:val="FF000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 w:cs="黑体"/>
          <w:b/>
          <w:bCs/>
          <w:color w:val="auto"/>
          <w:sz w:val="32"/>
          <w:szCs w:val="32"/>
          <w:lang w:bidi="ar"/>
        </w:rPr>
        <w:t>七、</w:t>
      </w:r>
      <w:r>
        <w:rPr>
          <w:rFonts w:hint="eastAsia" w:ascii="仿宋" w:hAnsi="仿宋" w:eastAsia="仿宋" w:cs="黑体"/>
          <w:b/>
          <w:color w:val="auto"/>
          <w:sz w:val="32"/>
          <w:szCs w:val="32"/>
          <w:lang w:bidi="ar"/>
        </w:rPr>
        <w:t>保障措施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（一）严格按照《威海市</w:t>
      </w:r>
      <w:r>
        <w:rPr>
          <w:rFonts w:ascii="仿宋" w:hAnsi="仿宋" w:eastAsia="仿宋"/>
          <w:color w:val="auto"/>
          <w:sz w:val="32"/>
          <w:szCs w:val="32"/>
        </w:rPr>
        <w:t>财政专项扶贫资金</w:t>
      </w:r>
      <w:r>
        <w:rPr>
          <w:rFonts w:hint="eastAsia" w:ascii="仿宋" w:hAnsi="仿宋" w:eastAsia="仿宋"/>
          <w:color w:val="auto"/>
          <w:sz w:val="32"/>
          <w:szCs w:val="32"/>
        </w:rPr>
        <w:t>和项目</w:t>
      </w:r>
      <w:r>
        <w:rPr>
          <w:rFonts w:ascii="仿宋" w:hAnsi="仿宋" w:eastAsia="仿宋"/>
          <w:color w:val="auto"/>
          <w:sz w:val="32"/>
          <w:szCs w:val="32"/>
        </w:rPr>
        <w:t>管理办法》的规定使用项目资金，确保专款专用。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（二）加强监督，实时分析风险。镇纪委、财政所经管审计将不定时对方案运行进行收益分析，及时控制风险，不断调整运作方案，保证资产收益。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_GB2312"/>
          <w:bCs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（三）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桥头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镇政府大力扶持威海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伟德市政有限公司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发展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工程项目建设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，确保扶贫专项资金收益稳定。</w:t>
      </w:r>
    </w:p>
    <w:p>
      <w:pPr>
        <w:adjustRightInd w:val="0"/>
        <w:snapToGrid w:val="0"/>
        <w:spacing w:line="560" w:lineRule="exact"/>
        <w:ind w:firstLine="640"/>
        <w:rPr>
          <w:rFonts w:ascii="仿宋" w:hAnsi="仿宋" w:eastAsia="仿宋"/>
          <w:bCs/>
          <w:color w:val="FF000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（四）为加强项目监督管理，成立了由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刘新科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（报信村）、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刘增义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（碑鲁村）、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刘新路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（北子城村）、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梁华荣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（埠上村）、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梁可建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（柴里村）、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殷汉永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（产里村）、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刘清常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（大院村）、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梁维德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（东涧村）、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宋福明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（东龙山村）、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吕学礼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（东洛后村）、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罗平丽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（东于家村）、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徐东江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（董家夼村）、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刘玉同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（福禄庄村）、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夏天威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（观里东村）、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夏秋丽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（观里西村）、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夏海超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（河西庄村）、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梁红基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（黑石村）、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吕国全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（后宅库村）、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梁晓飞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（黄金庄村）、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夏保林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（江家口村）、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袁振明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（教里村）、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刘玉强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（刘家泊村）、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吕华卫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（洛西村）、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张秀全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（孟家庄村）、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徐利英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（南台村）、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林国光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（南子城村）、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刘彩凤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（盘川夼村）、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刘玉杰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（彭家埠村）、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曲荣新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（前宅库村）、梁清钧（桥头村）、宋修启（宋家店村）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王金山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（西龙山村）、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夏元绪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（西洛后村）、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刘新君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（西山后村）、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宋文锦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（西于家村）、鞠玲丽（西贞村）、孙吉春（新建村）、张福玲（信河北村）、张锡贵（徐家庄村）、李荣临（雅格庄村）、邹积义（姚家圈村）、梁逢治（义河北村）、盛玉国（中于家村）为组员的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 w:bidi="ar"/>
        </w:rPr>
        <w:t>精准扶贫理事会</w:t>
      </w:r>
      <w:r>
        <w:rPr>
          <w:rFonts w:hint="eastAsia" w:ascii="仿宋" w:hAnsi="仿宋" w:eastAsia="仿宋" w:cs="仿宋_GB2312"/>
          <w:color w:val="auto"/>
          <w:sz w:val="32"/>
          <w:szCs w:val="32"/>
          <w:lang w:bidi="ar"/>
        </w:rPr>
        <w:t>，共同参与研究精准扶贫的所有会议，协助村两委搞好扶贫政策的宣传落实，参与扶贫项目的实施与验收，监督项目经营性资产的使用、经营、管理、收益、分配和处置等工作。</w:t>
      </w:r>
      <w:r>
        <w:rPr>
          <w:rFonts w:ascii="仿宋" w:hAnsi="仿宋" w:eastAsia="仿宋"/>
          <w:bCs/>
          <w:color w:val="FF0000"/>
          <w:sz w:val="32"/>
          <w:szCs w:val="32"/>
          <w:lang w:bidi="ar"/>
        </w:rPr>
        <w:t xml:space="preserve">       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 w:bidi="ar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  <w:lang w:eastAsia="zh-CN" w:bidi="ar"/>
        </w:rPr>
        <w:t>八、权属界定</w:t>
      </w:r>
    </w:p>
    <w:p>
      <w:pPr>
        <w:adjustRightInd w:val="0"/>
        <w:snapToGrid w:val="0"/>
        <w:spacing w:line="560" w:lineRule="exact"/>
        <w:ind w:firstLine="320" w:firstLineChars="100"/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/>
          <w:bCs/>
          <w:color w:val="auto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项目本金所有权归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43个插花村村集体。收益权属于村内插花式分布贫困人口。具体收益分配以最新建档立卡贫困户动态调整名单为准。</w:t>
      </w:r>
    </w:p>
    <w:p>
      <w:pPr>
        <w:adjustRightInd w:val="0"/>
        <w:snapToGrid w:val="0"/>
        <w:spacing w:line="560" w:lineRule="exact"/>
        <w:ind w:firstLine="320" w:firstLineChars="100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ascii="仿宋" w:hAnsi="仿宋" w:eastAsia="仿宋"/>
          <w:bCs/>
          <w:color w:val="auto"/>
          <w:sz w:val="32"/>
          <w:szCs w:val="32"/>
          <w:lang w:bidi="ar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bCs/>
          <w:color w:val="FF0000"/>
          <w:sz w:val="32"/>
          <w:szCs w:val="32"/>
        </w:rPr>
      </w:pPr>
      <w:r>
        <w:rPr>
          <w:rFonts w:ascii="仿宋" w:hAnsi="仿宋" w:eastAsia="仿宋"/>
          <w:bCs/>
          <w:color w:val="FF0000"/>
          <w:sz w:val="32"/>
          <w:szCs w:val="32"/>
          <w:lang w:bidi="ar"/>
        </w:rPr>
        <w:t xml:space="preserve">                 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黑体"/>
          <w:color w:val="FF0000"/>
          <w:sz w:val="32"/>
          <w:szCs w:val="32"/>
        </w:rPr>
      </w:pPr>
    </w:p>
    <w:p>
      <w:pPr>
        <w:ind w:left="4620" w:leftChars="0" w:firstLine="42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F6992"/>
    <w:multiLevelType w:val="singleLevel"/>
    <w:tmpl w:val="D1EF6992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126F"/>
    <w:rsid w:val="02E60F07"/>
    <w:rsid w:val="038D41F4"/>
    <w:rsid w:val="046C14F6"/>
    <w:rsid w:val="072B2103"/>
    <w:rsid w:val="083720F7"/>
    <w:rsid w:val="0A3D0128"/>
    <w:rsid w:val="0A9664BE"/>
    <w:rsid w:val="0ADA7208"/>
    <w:rsid w:val="0E342A8B"/>
    <w:rsid w:val="0F9D33E3"/>
    <w:rsid w:val="0FF81737"/>
    <w:rsid w:val="12AF0E7A"/>
    <w:rsid w:val="15134DB2"/>
    <w:rsid w:val="154863CE"/>
    <w:rsid w:val="15DA5EFE"/>
    <w:rsid w:val="182A2FC1"/>
    <w:rsid w:val="197A092F"/>
    <w:rsid w:val="19BB3F0A"/>
    <w:rsid w:val="1ACE5397"/>
    <w:rsid w:val="21F20FB6"/>
    <w:rsid w:val="22AD43CF"/>
    <w:rsid w:val="260E3873"/>
    <w:rsid w:val="281B3883"/>
    <w:rsid w:val="29812CEF"/>
    <w:rsid w:val="2B035FBC"/>
    <w:rsid w:val="2C06522E"/>
    <w:rsid w:val="2C4052A8"/>
    <w:rsid w:val="2C9D0B0A"/>
    <w:rsid w:val="2D926C7F"/>
    <w:rsid w:val="2D986BCB"/>
    <w:rsid w:val="31086322"/>
    <w:rsid w:val="34462291"/>
    <w:rsid w:val="34BB4894"/>
    <w:rsid w:val="34F30CBB"/>
    <w:rsid w:val="36E91E0D"/>
    <w:rsid w:val="39385ABC"/>
    <w:rsid w:val="3B3E74E5"/>
    <w:rsid w:val="3B8634CF"/>
    <w:rsid w:val="3C4B2E51"/>
    <w:rsid w:val="3D255F3F"/>
    <w:rsid w:val="3D2C74DE"/>
    <w:rsid w:val="3EE81578"/>
    <w:rsid w:val="40A876FC"/>
    <w:rsid w:val="454E51DC"/>
    <w:rsid w:val="47CD2188"/>
    <w:rsid w:val="4DA11543"/>
    <w:rsid w:val="4DCF4BCB"/>
    <w:rsid w:val="4E3F6361"/>
    <w:rsid w:val="4E7B7EA8"/>
    <w:rsid w:val="4E8E0F25"/>
    <w:rsid w:val="50444E20"/>
    <w:rsid w:val="53521A27"/>
    <w:rsid w:val="55663AC7"/>
    <w:rsid w:val="57164CBA"/>
    <w:rsid w:val="57D31E53"/>
    <w:rsid w:val="57DE5484"/>
    <w:rsid w:val="59B33814"/>
    <w:rsid w:val="5A2608D3"/>
    <w:rsid w:val="5B6A4F10"/>
    <w:rsid w:val="5B847B54"/>
    <w:rsid w:val="5B9D5E6D"/>
    <w:rsid w:val="5C5B2E70"/>
    <w:rsid w:val="5C732B60"/>
    <w:rsid w:val="5CAF7128"/>
    <w:rsid w:val="5D4A14EC"/>
    <w:rsid w:val="5F706495"/>
    <w:rsid w:val="619F3293"/>
    <w:rsid w:val="61BA0998"/>
    <w:rsid w:val="61D03A83"/>
    <w:rsid w:val="646F2422"/>
    <w:rsid w:val="64E5509A"/>
    <w:rsid w:val="65952286"/>
    <w:rsid w:val="665B6F2A"/>
    <w:rsid w:val="6752238A"/>
    <w:rsid w:val="67B678E2"/>
    <w:rsid w:val="6AC15A82"/>
    <w:rsid w:val="6C742FF4"/>
    <w:rsid w:val="6D7E6A14"/>
    <w:rsid w:val="6E717EAA"/>
    <w:rsid w:val="70233D73"/>
    <w:rsid w:val="704518E2"/>
    <w:rsid w:val="716A1E18"/>
    <w:rsid w:val="72F661FD"/>
    <w:rsid w:val="73D21E12"/>
    <w:rsid w:val="74A729CD"/>
    <w:rsid w:val="76731DF8"/>
    <w:rsid w:val="784A27E1"/>
    <w:rsid w:val="793D41AA"/>
    <w:rsid w:val="7B4072F4"/>
    <w:rsid w:val="7D0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65400</dc:creator>
  <cp:lastModifiedBy>work</cp:lastModifiedBy>
  <dcterms:modified xsi:type="dcterms:W3CDTF">2018-12-20T08:22:08Z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